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103" w:leader="none"/>
        </w:tabs>
        <w:jc w:val="both"/>
        <w:rPr>
          <w:rFonts w:ascii="Centaur" w:hAnsi="Centaur" w:cs="Centaur"/>
          <w:bCs/>
          <w:sz w:val="40"/>
          <w:szCs w:val="40"/>
        </w:rPr>
      </w:pPr>
      <w:r>
        <w:rPr>
          <w:rFonts w:cs="Centaur" w:ascii="Centaur" w:hAnsi="Centaur"/>
          <w:bCs/>
          <w:sz w:val="40"/>
          <w:szCs w:val="40"/>
        </w:rPr>
      </w:r>
    </w:p>
    <w:p>
      <w:pPr>
        <w:pStyle w:val="Normal"/>
        <w:tabs>
          <w:tab w:val="left" w:pos="5103" w:leader="none"/>
        </w:tabs>
        <w:jc w:val="both"/>
        <w:rPr>
          <w:rFonts w:ascii="Centaur" w:hAnsi="Centaur"/>
          <w:b/>
          <w:b/>
          <w:bCs/>
          <w:sz w:val="24"/>
          <w:szCs w:val="24"/>
        </w:rPr>
      </w:pPr>
      <w:r>
        <w:rPr>
          <w:rFonts w:ascii="Centaur" w:hAnsi="Centaur"/>
          <w:b/>
          <w:bCs/>
          <w:sz w:val="24"/>
          <w:szCs w:val="24"/>
        </w:rPr>
      </w:r>
    </w:p>
    <w:p>
      <w:pPr>
        <w:pStyle w:val="Normal"/>
        <w:tabs>
          <w:tab w:val="left" w:pos="5103" w:leader="none"/>
        </w:tabs>
        <w:jc w:val="right"/>
        <w:rPr>
          <w:rFonts w:ascii="Centaur" w:hAnsi="Centaur" w:cs="Centaur"/>
          <w:b/>
          <w:b/>
          <w:bCs/>
          <w:sz w:val="24"/>
          <w:szCs w:val="24"/>
        </w:rPr>
      </w:pPr>
      <w:r>
        <w:rPr>
          <w:rFonts w:cs="Centaur" w:ascii="Centaur" w:hAnsi="Centaur"/>
          <w:b/>
          <w:bCs/>
          <w:sz w:val="24"/>
          <w:szCs w:val="24"/>
        </w:rPr>
        <w:t xml:space="preserve">Allegato 5 </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center"/>
        <w:rPr>
          <w:rFonts w:ascii="Centaur" w:hAnsi="Centaur" w:cs="Centaur"/>
          <w:b/>
          <w:b/>
          <w:bCs/>
          <w:sz w:val="24"/>
          <w:szCs w:val="24"/>
        </w:rPr>
      </w:pPr>
      <w:r>
        <w:rPr>
          <w:rFonts w:cs="Centaur" w:ascii="Centaur" w:hAnsi="Centaur"/>
          <w:b/>
          <w:bCs/>
          <w:sz w:val="24"/>
          <w:szCs w:val="24"/>
        </w:rPr>
        <w:t>SCHEMA DI CONVENZIONE</w:t>
      </w:r>
    </w:p>
    <w:p>
      <w:pPr>
        <w:pStyle w:val="Normal"/>
        <w:tabs>
          <w:tab w:val="left" w:pos="5103" w:leader="none"/>
        </w:tabs>
        <w:jc w:val="both"/>
        <w:rPr>
          <w:rFonts w:ascii="Centaur" w:hAnsi="Centaur" w:cs="Centaur"/>
          <w:bCs/>
          <w:i/>
          <w:i/>
          <w:sz w:val="24"/>
          <w:szCs w:val="24"/>
        </w:rPr>
      </w:pPr>
      <w:r>
        <w:rPr>
          <w:rFonts w:cs="Centaur" w:ascii="Centaur" w:hAnsi="Centaur"/>
          <w:bCs/>
          <w:i/>
          <w:sz w:val="24"/>
          <w:szCs w:val="24"/>
        </w:rPr>
        <w:t>(da intendersi quale schema-base da adattare e completare in esito al procedimento di co-progettazione)</w:t>
      </w:r>
    </w:p>
    <w:p>
      <w:pPr>
        <w:pStyle w:val="Normal"/>
        <w:tabs>
          <w:tab w:val="left" w:pos="5103" w:leader="none"/>
        </w:tabs>
        <w:jc w:val="both"/>
        <w:rPr>
          <w:rFonts w:ascii="Centaur" w:hAnsi="Centaur" w:cs="Centaur"/>
          <w:bCs/>
          <w:i/>
          <w:i/>
          <w:sz w:val="24"/>
          <w:szCs w:val="24"/>
        </w:rPr>
      </w:pPr>
      <w:r>
        <w:rPr>
          <w:rFonts w:cs="Centaur" w:ascii="Centaur" w:hAnsi="Centaur"/>
          <w:bCs/>
          <w:i/>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per l’attivazione di un partenariato con Enti del Terzo Settore, ai sensi dell’art. 55 comma 3 del D.Lgs. n. 117/2017 e s.m.i., per la co-progettazione e realizzazione di interventi INERENTI AL PROGRAMMA NAZIONALE INCLUSIONE E LOTTA ALLA POVERTÀ 2021-2027 – AVVISO DEL MINISTERO DEL LAVORO E DELLE POLITICHE SOCIALI “</w:t>
      </w:r>
      <w:bookmarkStart w:id="0" w:name="_Hlk165557740"/>
      <w:r>
        <w:rPr>
          <w:rFonts w:cs="Centaur" w:ascii="Centaur" w:hAnsi="Centaur"/>
          <w:b/>
          <w:bCs/>
          <w:sz w:val="24"/>
          <w:szCs w:val="24"/>
        </w:rPr>
        <w:t>DES_TEENAZIONE - DESIDERI IN AZIONE</w:t>
      </w:r>
      <w:bookmarkEnd w:id="0"/>
      <w:r>
        <w:rPr>
          <w:rFonts w:cs="Centaur" w:ascii="Centaur" w:hAnsi="Centaur"/>
          <w:b/>
          <w:bCs/>
          <w:sz w:val="24"/>
          <w:szCs w:val="24"/>
        </w:rPr>
        <w:t>” TRIENNIO 2024/2026</w:t>
      </w:r>
    </w:p>
    <w:p>
      <w:pPr>
        <w:pStyle w:val="Normal"/>
        <w:tabs>
          <w:tab w:val="left" w:pos="5103" w:leader="none"/>
        </w:tabs>
        <w:jc w:val="both"/>
        <w:rPr>
          <w:rFonts w:ascii="Centaur" w:hAnsi="Centaur" w:cs="Centaur"/>
          <w:b/>
          <w:b/>
          <w:bCs/>
          <w:sz w:val="24"/>
          <w:szCs w:val="24"/>
        </w:rPr>
      </w:pPr>
      <w:bookmarkStart w:id="1" w:name="_Hlk165576147"/>
      <w:bookmarkStart w:id="2" w:name="_Hlk165576147"/>
      <w:bookmarkEnd w:id="2"/>
      <w:r>
        <w:rPr>
          <w:rFonts w:cs="Centaur" w:ascii="Centaur" w:hAnsi="Centaur"/>
          <w:b/>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 xml:space="preserve">CIG: ………………… . CUP ………………………………. </w:t>
      </w:r>
    </w:p>
    <w:p>
      <w:pPr>
        <w:pStyle w:val="Normal"/>
        <w:tabs>
          <w:tab w:val="left" w:pos="5103" w:leader="none"/>
        </w:tabs>
        <w:jc w:val="both"/>
        <w:rPr>
          <w:rFonts w:ascii="Centaur" w:hAnsi="Centaur" w:cs="Centaur"/>
          <w:bCs/>
          <w:sz w:val="24"/>
          <w:szCs w:val="24"/>
        </w:rPr>
      </w:pPr>
      <w:r>
        <w:rPr>
          <w:rFonts w:cs="Centaur" w:ascii="Centaur" w:hAnsi="Centaur"/>
          <w:bCs/>
          <w:sz w:val="24"/>
          <w:szCs w:val="24"/>
        </w:rPr>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Con la presente scrittura privata da valere a tutti gli effetti di legge,</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TRA</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il Comune di ……………., capofila del Distretto Socio Sanitario 50 di seguito indicato come Comune o Amministrazione procedente (AP), con sede legale in ……………., Via ……………. N. ….. - Codice Fiscale …………………… e P.Iva ……………………., rappresentato ai sensi dell’art. 107 del D. Lgs. Da del …..° del ……………………..;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E</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l’Ente del Terzo Settore (ETS) « ................................................................................................» di seguito</w:t>
      </w:r>
    </w:p>
    <w:p>
      <w:pPr>
        <w:pStyle w:val="Normal"/>
        <w:tabs>
          <w:tab w:val="left" w:pos="5103" w:leader="none"/>
        </w:tabs>
        <w:jc w:val="both"/>
        <w:rPr>
          <w:rFonts w:ascii="Centaur" w:hAnsi="Centaur" w:cs="Centaur"/>
          <w:bCs/>
          <w:sz w:val="24"/>
          <w:szCs w:val="24"/>
        </w:rPr>
      </w:pPr>
      <w:r>
        <w:rPr>
          <w:rFonts w:cs="Centaur" w:ascii="Centaur" w:hAnsi="Centaur"/>
          <w:bCs/>
          <w:sz w:val="24"/>
          <w:szCs w:val="24"/>
        </w:rPr>
        <w:t>denominato Ente Attuatore Partner (EAP), Codice Fiscale ....................... P. IVA</w:t>
        <w:tab/>
        <w:t>, con sede</w:t>
      </w:r>
    </w:p>
    <w:p>
      <w:pPr>
        <w:pStyle w:val="Normal"/>
        <w:tabs>
          <w:tab w:val="left" w:pos="5103" w:leader="none"/>
        </w:tabs>
        <w:jc w:val="both"/>
        <w:rPr>
          <w:rFonts w:ascii="Centaur" w:hAnsi="Centaur" w:cs="Centaur"/>
          <w:bCs/>
          <w:sz w:val="24"/>
          <w:szCs w:val="24"/>
        </w:rPr>
      </w:pPr>
      <w:r>
        <w:rPr>
          <w:rFonts w:cs="Centaur" w:ascii="Centaur" w:hAnsi="Centaur"/>
          <w:bCs/>
          <w:sz w:val="24"/>
          <w:szCs w:val="24"/>
        </w:rPr>
        <w:t>legale in……….....................................…Via.............................................................,</w:t>
        <w:tab/>
        <w:t>rappresentato</w:t>
        <w:tab/>
        <w:t>da</w:t>
      </w:r>
    </w:p>
    <w:p>
      <w:pPr>
        <w:pStyle w:val="Normal"/>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Cs/>
          <w:sz w:val="24"/>
          <w:szCs w:val="24"/>
        </w:rPr>
        <w:t>..</w:t>
        <w:tab/>
        <w:t>nato</w:t>
        <w:tab/>
        <w:t>a………………………………………………(</w:t>
        <w:tab/>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t>il………………………………, C.F…</w:t>
        <w:tab/>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PREMESSA</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 Con Avviso pubblicato sul sito istituzionale dell’Amministrazione Procedente (AP), in data ../../.., in esecuzione della determina  n. …  del ../../….(che si richiama integralmente, ivi comprese le relative</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premesse, le quali sono da intendersi qui integralmente trascritte), il DSS50 Comune di TRAPANI Capofila ha indetto procedura ad evidenza pubblica volta alla individuazione di un Ente del Terzo Settore disponibile alla co-progettazione per la realizzazione, ai sensi dell’art. 55 del D.Lgs. n. 117/2017, di interventi INERENTI AL PROGRAMMA NAZIONALE INCLUSIONE E LOTTA ALLA POVERTÀ 2021-2027 – AVVISO DEL MINISTERO DEL LAVORO E DELLE POLITICHE SOCIALI “DES_TEENAZIONE - DESIDERI IN AZIONE” TRIENNIO 2024/2026</w:t>
      </w:r>
      <w:r>
        <w:rPr>
          <w:rFonts w:cs="Centaur" w:ascii="Centaur" w:hAnsi="Centaur"/>
          <w:bCs/>
          <w:sz w:val="24"/>
          <w:szCs w:val="24"/>
        </w:rPr>
        <w:t xml:space="preserve">. </w:t>
      </w:r>
      <w:r>
        <w:rPr>
          <w:rFonts w:cs="Centaur" w:ascii="Centaur" w:hAnsi="Centaur"/>
          <w:b/>
          <w:bCs/>
          <w:sz w:val="24"/>
          <w:szCs w:val="24"/>
        </w:rPr>
        <w:t xml:space="preserve">CIG: ………………… . CUP ……………………………….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Richiamate</w:t>
      </w:r>
    </w:p>
    <w:p>
      <w:pPr>
        <w:pStyle w:val="Normal"/>
        <w:numPr>
          <w:ilvl w:val="0"/>
          <w:numId w:val="1"/>
        </w:numPr>
        <w:tabs>
          <w:tab w:val="left" w:pos="5103" w:leader="none"/>
        </w:tabs>
        <w:jc w:val="both"/>
        <w:rPr>
          <w:rFonts w:ascii="Centaur" w:hAnsi="Centaur" w:cs="Centaur"/>
          <w:bCs/>
          <w:sz w:val="24"/>
          <w:szCs w:val="24"/>
        </w:rPr>
      </w:pPr>
      <w:r>
        <w:rPr>
          <w:rFonts w:cs="Centaur" w:ascii="Centaur" w:hAnsi="Centaur"/>
          <w:bCs/>
          <w:sz w:val="24"/>
          <w:szCs w:val="24"/>
        </w:rPr>
        <w:t>la D.D. n. … del ../../ di approvazione dell’Avviso pubblico e dei relativi Allegati ai fini della ricezione delle domande di partecipazione da parte degli ETS volte alla istruttoria ad evidenza pubblica di co- progettazione;</w:t>
      </w:r>
    </w:p>
    <w:p>
      <w:pPr>
        <w:pStyle w:val="Normal"/>
        <w:numPr>
          <w:ilvl w:val="0"/>
          <w:numId w:val="1"/>
        </w:numPr>
        <w:tabs>
          <w:tab w:val="left" w:pos="5103" w:leader="none"/>
        </w:tabs>
        <w:jc w:val="both"/>
        <w:rPr>
          <w:rFonts w:ascii="Centaur" w:hAnsi="Centaur" w:cs="Centaur"/>
          <w:bCs/>
          <w:sz w:val="24"/>
          <w:szCs w:val="24"/>
        </w:rPr>
      </w:pPr>
      <w:r>
        <w:rPr>
          <w:rFonts w:cs="Centaur" w:ascii="Centaur" w:hAnsi="Centaur"/>
          <w:bCs/>
          <w:sz w:val="24"/>
          <w:szCs w:val="24"/>
        </w:rPr>
        <w:t>i verbali del seggio istituito dall’Amministrazione procedente per la verifica della regolarità formale delle domande di partecipazione, nonché della Commissione per la valutazione delle proposte pervenute all’Amministrazione – entro il termine previsto dall’Avviso - nell’ambito della richiamata procedura ad evidenza pubblica;</w:t>
      </w:r>
    </w:p>
    <w:p>
      <w:pPr>
        <w:pStyle w:val="Normal"/>
        <w:numPr>
          <w:ilvl w:val="0"/>
          <w:numId w:val="1"/>
        </w:numPr>
        <w:tabs>
          <w:tab w:val="left" w:pos="5103" w:leader="none"/>
        </w:tabs>
        <w:jc w:val="both"/>
        <w:rPr>
          <w:rFonts w:ascii="Centaur" w:hAnsi="Centaur" w:cs="Centaur"/>
          <w:bCs/>
          <w:sz w:val="24"/>
          <w:szCs w:val="24"/>
        </w:rPr>
      </w:pPr>
      <w:r>
        <w:rPr>
          <w:rFonts w:cs="Centaur" w:ascii="Centaur" w:hAnsi="Centaur"/>
          <w:bCs/>
          <w:sz w:val="24"/>
          <w:szCs w:val="24"/>
        </w:rPr>
        <w:t>la D.D. n. … del ../../…. di conclusione del procedimento ad esito del quale la proposta formulata da</w:t>
        <w:tab/>
        <w:t>è stata ritenuta la più rispondente alle finalità indicate nel citato Avviso pubblico</w:t>
      </w:r>
    </w:p>
    <w:p>
      <w:pPr>
        <w:pStyle w:val="Normal"/>
        <w:tabs>
          <w:tab w:val="left" w:pos="5103" w:leader="none"/>
        </w:tabs>
        <w:jc w:val="both"/>
        <w:rPr>
          <w:rFonts w:ascii="Centaur" w:hAnsi="Centaur" w:cs="Centaur"/>
          <w:bCs/>
          <w:sz w:val="24"/>
          <w:szCs w:val="24"/>
        </w:rPr>
      </w:pPr>
      <w:r>
        <w:rPr>
          <w:rFonts w:cs="Centaur" w:ascii="Centaur" w:hAnsi="Centaur"/>
          <w:bCs/>
          <w:sz w:val="24"/>
          <w:szCs w:val="24"/>
        </w:rPr>
        <w:t>e nei relativi Allegati, come da relativa Graduatoria;</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
          <w:sz w:val="24"/>
          <w:szCs w:val="24"/>
        </w:rPr>
        <w:t>Preso atto</w:t>
      </w:r>
      <w:r>
        <w:rPr>
          <w:rFonts w:cs="Centaur" w:ascii="Centaur" w:hAnsi="Centaur"/>
          <w:bCs/>
          <w:sz w:val="24"/>
          <w:szCs w:val="24"/>
        </w:rPr>
        <w:t xml:space="preserve"> degli esiti del Tavolo di co-progettazione e del Progetto Definitivo (PD) scaturito, avente a contenuto le modifiche/integrazioni apportate in sede di confronto tra EAP selezionato e Comune di ……………… – Capofila del DSS n. ….. , ferme restando le caratteristiche fondamentali della proposta progettuale presentata;</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
          <w:sz w:val="24"/>
          <w:szCs w:val="24"/>
        </w:rPr>
        <w:t>Atteso</w:t>
      </w:r>
      <w:r>
        <w:rPr>
          <w:rFonts w:cs="Centaur" w:ascii="Centaur" w:hAnsi="Centaur"/>
          <w:bCs/>
          <w:sz w:val="24"/>
          <w:szCs w:val="24"/>
        </w:rPr>
        <w:t xml:space="preserve"> che attraverso l’accordo di collaborazione, da stipularsi in forma di convenzione, vengono definite le modalità di realizzazione dell’intervento oggetto di co-progettazione in relazione ai reciproci rapporti tra le parti;</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
          <w:sz w:val="24"/>
          <w:szCs w:val="24"/>
        </w:rPr>
        <w:t>Preso atto</w:t>
      </w:r>
      <w:r>
        <w:rPr>
          <w:rFonts w:cs="Centaur" w:ascii="Centaur" w:hAnsi="Centaur"/>
          <w:bCs/>
          <w:sz w:val="24"/>
          <w:szCs w:val="24"/>
        </w:rPr>
        <w:t xml:space="preserve"> che la verifica del possesso dei requisiti del soggetto partner attuatore degli interventi, auto dichiarati nell’ambito della procedura ad evidenza pubblica, ha avuto esito positivo.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sz w:val="24"/>
          <w:szCs w:val="24"/>
        </w:rPr>
      </w:pPr>
      <w:r>
        <w:rPr>
          <w:rFonts w:cs="Centaur" w:ascii="Centaur" w:hAnsi="Centaur"/>
          <w:b/>
          <w:sz w:val="24"/>
          <w:szCs w:val="24"/>
        </w:rPr>
        <w:t>Visti</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l’art. 118, comma 4, della Costituzione, che riconosce il principio di sussidiarietà orizzontale, accanto a quello di sussidiarietà verticale, ai fini dell’esercizio delle funzioni amministrative;</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la L. n. 328/2000 che introduce a livello nazionale i principi generali per la realizzazione di un sistema integrato di progettazione di interventi sociali e socio-assistenziali;</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la L.R. n. 22/1986 “Riordino dei servizi e delle attività socio-assistenziali in Sicilia”;</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il d. Lgs. n. 50/2016 e ss. mm., in particolare gli artt. 30, comma 8, 59 e 140, come risultati a seguito delle modifiche apportate dal decreto-legge n. 76/2020, convertito con modificazioni in legge n. 120/2020;</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[eventuali specifiche norme da riportare qui in relazione all’Azione del PdZ da avviare ………….];</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il d. lgs. n. 117/2017 e ss. mm. e, in particolare, l’art. 55 comma 3, che disciplina l’utilizzo dello strumento della co-progettazione;</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la sentenza della Corte Costituzionale n. 131 del 26/06/2020 che radica costituzionalmente e nella normativa euro unitaria gli strumenti della co-programmazione e della co-progettazione;</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le Linee Guida in materia di rapporti tra Pubbliche Amministrazioni e Enti del Terzo Settore nell’applicazione degli artt. 55, 56 e 57 del D.Lgs. n. 117/2017, adottate con Decreto del Ministro del Lavoro e delle Politiche Sociali n. 72 del 31/03/2021;</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la legge n. 136/2010 e ss. mm.;</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le Linee Guida dell’ANAC in materia di affidamento di servizi sociali;</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la Legge n. 241/1990 e ss. mm.;</w:t>
      </w:r>
    </w:p>
    <w:p>
      <w:pPr>
        <w:pStyle w:val="Normal"/>
        <w:numPr>
          <w:ilvl w:val="1"/>
          <w:numId w:val="1"/>
        </w:numPr>
        <w:tabs>
          <w:tab w:val="left" w:pos="5103" w:leader="none"/>
        </w:tabs>
        <w:jc w:val="both"/>
        <w:rPr>
          <w:rFonts w:ascii="Centaur" w:hAnsi="Centaur" w:cs="Centaur"/>
          <w:bCs/>
          <w:sz w:val="24"/>
          <w:szCs w:val="24"/>
        </w:rPr>
      </w:pPr>
      <w:r>
        <w:rPr>
          <w:rFonts w:cs="Centaur" w:ascii="Centaur" w:hAnsi="Centaur"/>
          <w:bCs/>
          <w:sz w:val="24"/>
          <w:szCs w:val="24"/>
        </w:rPr>
        <w:t>il D. Lgs. n. 267/2000 e ss. mm.;</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Richiamato inoltre l’intero quadro normativo di riferimento e motivazionale dell’azione, come indicati nell’Avviso sopracitato.</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sectPr>
          <w:headerReference w:type="default" r:id="rId2"/>
          <w:type w:val="nextPage"/>
          <w:pgSz w:w="11906" w:h="16850"/>
          <w:pgMar w:left="820" w:right="620" w:header="661" w:top="1680" w:footer="0" w:bottom="960" w:gutter="0"/>
          <w:pgNumType w:fmt="decimal"/>
          <w:formProt w:val="false"/>
          <w:textDirection w:val="lrTb"/>
          <w:docGrid w:type="default" w:linePitch="100" w:charSpace="8192"/>
        </w:sectPr>
      </w:pPr>
    </w:p>
    <w:p>
      <w:pPr>
        <w:pStyle w:val="Normal"/>
        <w:tabs>
          <w:tab w:val="left" w:pos="5103" w:leader="none"/>
        </w:tabs>
        <w:jc w:val="both"/>
        <w:rPr>
          <w:rFonts w:ascii="Centaur" w:hAnsi="Centaur" w:cs="Centaur"/>
          <w:bCs/>
          <w:sz w:val="24"/>
          <w:szCs w:val="24"/>
        </w:rPr>
      </w:pPr>
      <w:r>
        <w:rPr>
          <w:rFonts w:cs="Centaur" w:ascii="Centaur" w:hAnsi="Centaur"/>
          <w:bCs/>
          <w:sz w:val="24"/>
          <w:szCs w:val="24"/>
        </w:rPr>
        <w:t>Tanto premesso,</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SI CONVIENE E STIPULA QUANTO SEGUE</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1 - Oggetto della convenzione</w:t>
      </w:r>
    </w:p>
    <w:p>
      <w:pPr>
        <w:sectPr>
          <w:type w:val="continuous"/>
          <w:pgSz w:w="11906" w:h="16850"/>
          <w:pgMar w:left="820" w:right="620" w:header="661" w:top="1680" w:footer="0" w:bottom="960" w:gutter="0"/>
          <w:cols w:num="2" w:equalWidth="false" w:sep="false">
            <w:col w:w="1810" w:space="1084"/>
            <w:col w:w="7571"/>
          </w:cols>
          <w:formProt w:val="false"/>
          <w:textDirection w:val="lrTb"/>
          <w:docGrid w:type="default" w:linePitch="100" w:charSpace="8192"/>
        </w:sectPr>
      </w:pP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2"/>
        </w:numPr>
        <w:tabs>
          <w:tab w:val="left" w:pos="5103" w:leader="none"/>
        </w:tabs>
        <w:jc w:val="both"/>
        <w:rPr>
          <w:rFonts w:ascii="Centaur" w:hAnsi="Centaur" w:cs="Centaur"/>
          <w:bCs/>
          <w:sz w:val="24"/>
          <w:szCs w:val="24"/>
        </w:rPr>
      </w:pPr>
      <w:r>
        <w:rPr>
          <w:rFonts w:cs="Centaur" w:ascii="Centaur" w:hAnsi="Centaur"/>
          <w:bCs/>
          <w:sz w:val="24"/>
          <w:szCs w:val="24"/>
        </w:rPr>
        <w:t>Oggetto della convenzione, sottoscritta fra le Parti, è la regolamentazione del rapporto di collaborazione, finalizzato alla costituzione di un partenariato per la realizzazione degli interventi posti a base della procedura ad evidenza pubblica, elaborati nella Proposta Progettuale, positivamente valutata dalla Commissione e successivamente declinata, all’interno del Tavolo di co- progettazione, nel Progetto Definitivo.</w:t>
      </w:r>
    </w:p>
    <w:p>
      <w:pPr>
        <w:pStyle w:val="Normal"/>
        <w:numPr>
          <w:ilvl w:val="0"/>
          <w:numId w:val="2"/>
        </w:numPr>
        <w:tabs>
          <w:tab w:val="left" w:pos="5103" w:leader="none"/>
        </w:tabs>
        <w:jc w:val="both"/>
        <w:rPr>
          <w:rFonts w:ascii="Centaur" w:hAnsi="Centaur" w:cs="Centaur"/>
          <w:bCs/>
          <w:sz w:val="24"/>
          <w:szCs w:val="24"/>
        </w:rPr>
      </w:pPr>
      <w:r>
        <w:rPr>
          <w:rFonts w:cs="Centaur" w:ascii="Centaur" w:hAnsi="Centaur"/>
          <w:bCs/>
          <w:sz w:val="24"/>
          <w:szCs w:val="24"/>
        </w:rPr>
        <w:t>A tale ultimo proposito, i documenti richiamati nelle Premesse devono intendersi quale parte integrante e sostanziale della presente Convenzione.</w:t>
      </w:r>
    </w:p>
    <w:p>
      <w:pPr>
        <w:pStyle w:val="Normal"/>
        <w:numPr>
          <w:ilvl w:val="0"/>
          <w:numId w:val="2"/>
        </w:numPr>
        <w:tabs>
          <w:tab w:val="left" w:pos="5103" w:leader="none"/>
        </w:tabs>
        <w:jc w:val="both"/>
        <w:rPr>
          <w:rFonts w:ascii="Centaur" w:hAnsi="Centaur" w:cs="Centaur"/>
          <w:bCs/>
          <w:sz w:val="24"/>
          <w:szCs w:val="24"/>
        </w:rPr>
      </w:pPr>
      <w:r>
        <w:rPr>
          <w:rFonts w:cs="Centaur" w:ascii="Centaur" w:hAnsi="Centaur"/>
          <w:bCs/>
          <w:sz w:val="24"/>
          <w:szCs w:val="24"/>
        </w:rPr>
        <w:t>L’Ente Attuatore Partner (EAP), con la sottoscrizione della presente Convenzione, si impegna affinché le attività co-progettate con il DSS50 siano svolte con le modalità convenute e per il periodo concordato.</w:t>
      </w:r>
    </w:p>
    <w:p>
      <w:pPr>
        <w:pStyle w:val="Normal"/>
        <w:numPr>
          <w:ilvl w:val="0"/>
          <w:numId w:val="2"/>
        </w:numPr>
        <w:tabs>
          <w:tab w:val="left" w:pos="5103" w:leader="none"/>
        </w:tabs>
        <w:jc w:val="both"/>
        <w:rPr>
          <w:rFonts w:ascii="Centaur" w:hAnsi="Centaur" w:cs="Centaur"/>
          <w:bCs/>
          <w:sz w:val="24"/>
          <w:szCs w:val="24"/>
        </w:rPr>
      </w:pPr>
      <w:r>
        <w:rPr>
          <w:rFonts w:cs="Centaur" w:ascii="Centaur" w:hAnsi="Centaur"/>
          <w:bCs/>
          <w:sz w:val="24"/>
          <w:szCs w:val="24"/>
        </w:rPr>
        <w:t>In ragione di quanto precede, l’EAP assume l’impegno di apportare agli interventi tutte le necessarie migliorie, che saranno concordate, nel corso del rapporto convenzionale per assicurare la migliore tutela dell’interesse pubblico e dei soggetti beneficiari dell’intervento, fermo restando quanto previsto dall’Avviso pubblico e dai relativi Allegati e il divieto di modifiche sostanziali del progetto, e nello spirito tipico del rapporto di collaborazione attivato con la co- progettazione.</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2 - Durata ed efficacia della Convenzione</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3"/>
        </w:numPr>
        <w:tabs>
          <w:tab w:val="left" w:pos="5103" w:leader="none"/>
        </w:tabs>
        <w:jc w:val="both"/>
        <w:rPr>
          <w:rFonts w:ascii="Centaur" w:hAnsi="Centaur" w:cs="Centaur"/>
          <w:bCs/>
          <w:sz w:val="24"/>
          <w:szCs w:val="24"/>
        </w:rPr>
      </w:pPr>
      <w:r>
        <w:rPr>
          <w:rFonts w:cs="Centaur" w:ascii="Centaur" w:hAnsi="Centaur"/>
          <w:bCs/>
          <w:sz w:val="24"/>
          <w:szCs w:val="24"/>
        </w:rPr>
        <w:t>La presente Convenzione avrà efficacia a partire dalla sottoscrizione della stessa e ha scadenza fissata al _____________ salve eventuali proroghe da parte del Ministero, nel qual caso sarà fatta salva l’estensione della validità della convenzione fino alla data di conclusione del progetto ricorrendone i presupposti.</w:t>
      </w:r>
    </w:p>
    <w:p>
      <w:pPr>
        <w:pStyle w:val="Normal"/>
        <w:numPr>
          <w:ilvl w:val="0"/>
          <w:numId w:val="3"/>
        </w:numPr>
        <w:tabs>
          <w:tab w:val="left" w:pos="5103" w:leader="none"/>
        </w:tabs>
        <w:jc w:val="both"/>
        <w:rPr>
          <w:rFonts w:ascii="Centaur" w:hAnsi="Centaur" w:cs="Centaur"/>
          <w:bCs/>
          <w:sz w:val="24"/>
          <w:szCs w:val="24"/>
        </w:rPr>
      </w:pPr>
      <w:r>
        <w:rPr>
          <w:rFonts w:cs="Centaur" w:ascii="Centaur" w:hAnsi="Centaur"/>
          <w:bCs/>
          <w:sz w:val="24"/>
          <w:szCs w:val="24"/>
        </w:rPr>
        <w:t>La prosecuzione delle attività e degli interventi progettuali oltre il periodo di conclusione previsto potrà essere eventualmente autorizzata esclusivamente con la finalità di portare a compimento le attività previste in sede di co-progettazione e comunque nei limiti delle risorse finanziarie.</w:t>
      </w:r>
    </w:p>
    <w:p>
      <w:pPr>
        <w:pStyle w:val="Normal"/>
        <w:numPr>
          <w:ilvl w:val="0"/>
          <w:numId w:val="3"/>
        </w:numPr>
        <w:tabs>
          <w:tab w:val="left" w:pos="5103" w:leader="none"/>
        </w:tabs>
        <w:jc w:val="both"/>
        <w:rPr>
          <w:rFonts w:ascii="Centaur" w:hAnsi="Centaur" w:cs="Centaur"/>
          <w:bCs/>
          <w:sz w:val="24"/>
          <w:szCs w:val="24"/>
        </w:rPr>
      </w:pPr>
      <w:r>
        <w:rPr>
          <w:rFonts w:cs="Centaur" w:ascii="Centaur" w:hAnsi="Centaur"/>
          <w:bCs/>
          <w:sz w:val="24"/>
          <w:szCs w:val="24"/>
        </w:rPr>
        <w:t xml:space="preserve">L’Ente Attuatore Partner è comunque obbligato ad assicurare la disponibilità della documentazione e di ogni altra informazione richiesta nell’espletamento dei controlli eseguiti successivamente alla conclusione degli interventi, in conformità alla normativa vigente.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3 – Attività e interventi oggetto di affidamento</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1. Con la sottoscrizione della presente Convenzione l’AP affida all’EAP la realizzazione delle attività e gli interventi definiti nel Progetto Definitivo (PD) co-progettato dalle parti, allegato al presente documento per costituirne parte integrante e sostanziale [Allegato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4 - Quadro economico-finanziario del progetto</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4"/>
        </w:numPr>
        <w:tabs>
          <w:tab w:val="left" w:pos="5103" w:leader="none"/>
        </w:tabs>
        <w:jc w:val="both"/>
        <w:rPr>
          <w:rFonts w:ascii="Centaur" w:hAnsi="Centaur" w:cs="Centaur"/>
          <w:bCs/>
          <w:sz w:val="24"/>
          <w:szCs w:val="24"/>
        </w:rPr>
      </w:pPr>
      <w:r>
        <w:rPr>
          <w:rFonts w:cs="Centaur" w:ascii="Centaur" w:hAnsi="Centaur"/>
          <w:bCs/>
          <w:sz w:val="24"/>
          <w:szCs w:val="24"/>
        </w:rPr>
        <w:t>Il piano economico-finanziario complessivo della presente Convenzione è riportato nel Progetto Definitivo, elaborato in esito ai lavori del tavolo di co-progettazione ed è costituito dalle risorse economiche, umane e strumentali messe a disposizione dall’AP e dall’EAP selezionato.</w:t>
      </w:r>
    </w:p>
    <w:p>
      <w:pPr>
        <w:pStyle w:val="Normal"/>
        <w:numPr>
          <w:ilvl w:val="0"/>
          <w:numId w:val="4"/>
        </w:numPr>
        <w:tabs>
          <w:tab w:val="left" w:pos="5103" w:leader="none"/>
        </w:tabs>
        <w:jc w:val="both"/>
        <w:rPr>
          <w:rFonts w:ascii="Centaur" w:hAnsi="Centaur" w:cs="Centaur"/>
          <w:bCs/>
          <w:sz w:val="24"/>
          <w:szCs w:val="24"/>
        </w:rPr>
      </w:pPr>
      <w:r>
        <w:rPr>
          <w:rFonts w:cs="Centaur" w:ascii="Centaur" w:hAnsi="Centaur"/>
          <w:bCs/>
          <w:sz w:val="24"/>
          <w:szCs w:val="24"/>
        </w:rPr>
        <w:t>Per realizzare le finalità e gli obiettivi degli interventi, l’EAP mette a disposizione proprie risorse strumentali (attrezzature e mezzi), umane (personale dipendente e/o prestatori d’opera intellettuale e/o di servizio, etc., operanti a qualunque titolo) e finanziarie, individuate nel Progetto Definitivo [Allegato “..”].</w:t>
      </w:r>
    </w:p>
    <w:p>
      <w:pPr>
        <w:pStyle w:val="Normal"/>
        <w:numPr>
          <w:ilvl w:val="0"/>
          <w:numId w:val="4"/>
        </w:numPr>
        <w:tabs>
          <w:tab w:val="left" w:pos="5103" w:leader="none"/>
        </w:tabs>
        <w:jc w:val="both"/>
        <w:rPr>
          <w:rFonts w:ascii="Centaur" w:hAnsi="Centaur" w:cs="Centaur"/>
          <w:bCs/>
          <w:sz w:val="24"/>
          <w:szCs w:val="24"/>
        </w:rPr>
      </w:pPr>
      <w:r>
        <w:rPr>
          <w:rFonts w:cs="Centaur" w:ascii="Centaur" w:hAnsi="Centaur"/>
          <w:bCs/>
          <w:sz w:val="24"/>
          <w:szCs w:val="24"/>
        </w:rPr>
        <w:t xml:space="preserve">Per la realizzazione degli interventi previsti dall’Avviso, il Comune di ……………. mette a disposizione dell’EAP un budget complessivo di </w:t>
      </w:r>
      <w:r>
        <w:rPr>
          <w:rFonts w:cs="Centaur" w:ascii="Centaur" w:hAnsi="Centaur"/>
          <w:b/>
          <w:bCs/>
          <w:sz w:val="24"/>
          <w:szCs w:val="24"/>
        </w:rPr>
        <w:t xml:space="preserve">€ ………………, </w:t>
      </w:r>
      <w:r>
        <w:rPr>
          <w:rFonts w:cs="Centaur" w:ascii="Centaur" w:hAnsi="Centaur"/>
          <w:bCs/>
          <w:sz w:val="24"/>
          <w:szCs w:val="24"/>
        </w:rPr>
        <w:t>oltre alle risorse umane indicate nella Scheda Progetto.</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4"/>
        </w:numPr>
        <w:tabs>
          <w:tab w:val="left" w:pos="5103" w:leader="none"/>
        </w:tabs>
        <w:jc w:val="both"/>
        <w:rPr>
          <w:rFonts w:ascii="Centaur" w:hAnsi="Centaur" w:cs="Centaur"/>
          <w:bCs/>
          <w:sz w:val="24"/>
          <w:szCs w:val="24"/>
        </w:rPr>
      </w:pPr>
      <w:r>
        <w:rPr>
          <w:rFonts w:cs="Centaur" w:ascii="Centaur" w:hAnsi="Centaur"/>
          <w:bCs/>
          <w:sz w:val="24"/>
          <w:szCs w:val="24"/>
        </w:rPr>
        <w:t>A tale ultimo proposito, si precisa che l’importo corrispondente alle risorse, a vario titolo, messe a disposizione dall’Amministrazione procedente, costituisce il massimo importo erogabile dalla stessa; deve, pertanto, intendersi comprensivo di IVA, se e nella misura in cui è dovuta, ai sensi della normativa vigente.</w:t>
      </w:r>
    </w:p>
    <w:p>
      <w:pPr>
        <w:pStyle w:val="Normal"/>
        <w:numPr>
          <w:ilvl w:val="0"/>
          <w:numId w:val="4"/>
        </w:numPr>
        <w:tabs>
          <w:tab w:val="left" w:pos="5103" w:leader="none"/>
        </w:tabs>
        <w:jc w:val="both"/>
        <w:rPr>
          <w:rFonts w:ascii="Centaur" w:hAnsi="Centaur" w:cs="Centaur"/>
          <w:bCs/>
          <w:sz w:val="24"/>
          <w:szCs w:val="24"/>
        </w:rPr>
      </w:pPr>
      <w:r>
        <w:rPr>
          <w:rFonts w:cs="Centaur" w:ascii="Centaur" w:hAnsi="Centaur"/>
          <w:bCs/>
          <w:sz w:val="24"/>
          <w:szCs w:val="24"/>
        </w:rPr>
        <w:t>L’Amministrazione rimarrà estranea a tutti i rapporti instaurati dall’EAP con fornitori, prestatori d’opera, soggetti terzi alle parti stipulanti il contratto e comunque con il personale dipendente impiegato nell’esercizio dell’attività, dovendosi intendere tali rapporti intercorrenti esclusivamente tra lo stesso EAP e detti soggetti.</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5 - Risorse umane adibite alle attività di Progetto</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5"/>
        </w:numPr>
        <w:tabs>
          <w:tab w:val="left" w:pos="5103" w:leader="none"/>
        </w:tabs>
        <w:jc w:val="both"/>
        <w:rPr>
          <w:rFonts w:ascii="Centaur" w:hAnsi="Centaur" w:cs="Centaur"/>
          <w:bCs/>
          <w:sz w:val="24"/>
          <w:szCs w:val="24"/>
        </w:rPr>
      </w:pPr>
      <w:r>
        <w:rPr>
          <w:rFonts w:cs="Centaur" w:ascii="Centaur" w:hAnsi="Centaur"/>
          <w:bCs/>
          <w:sz w:val="24"/>
          <w:szCs w:val="24"/>
        </w:rPr>
        <w:t>Al fine di garantire l’adeguata realizzazione delle attività e degli interventi co-progettati, l’EAP si impegna ad impiegare personale specializzato, con background formativo e professionale adeguato al ruolo ricoperto e alle mansioni assegnate, con esperienza almeno biennale, maturata nel quinquennio precedente, secondo quanto previsto dall’Avviso pubblico di indizione della procedura di co-progettazione e secondo le quantità e qualità indicate nel Progetto Definitivo. Si allega alla presente Convenzione l’elenco del personale con i relativi curricula vitae. L’elenco, allegato alla presente Convenzione per costituirne parte integrante e sostanziale [Allegato “….”], deve riportare le seguenti informazioni: nome e cognome, profilo professionale, titolo di studio, eventuale iscrizione ad albi, numero di ore settimanali in cui la figura professionale sarà dedicata al progetto.</w:t>
      </w:r>
    </w:p>
    <w:p>
      <w:pPr>
        <w:pStyle w:val="Normal"/>
        <w:numPr>
          <w:ilvl w:val="0"/>
          <w:numId w:val="5"/>
        </w:numPr>
        <w:tabs>
          <w:tab w:val="left" w:pos="5103" w:leader="none"/>
        </w:tabs>
        <w:jc w:val="both"/>
        <w:rPr>
          <w:rFonts w:ascii="Centaur" w:hAnsi="Centaur" w:cs="Centaur"/>
          <w:bCs/>
          <w:sz w:val="24"/>
          <w:szCs w:val="24"/>
        </w:rPr>
      </w:pPr>
      <w:r>
        <w:rPr>
          <w:rFonts w:cs="Centaur" w:ascii="Centaur" w:hAnsi="Centaur"/>
          <w:bCs/>
          <w:sz w:val="24"/>
          <w:szCs w:val="24"/>
        </w:rPr>
        <w:t>Il personale, oltre a eseguire gli interventi e i servizi previsti dal progetto, dovrà supportare e assistere l’Ente locale titolare nella predisposizione della documentazione di rendicontazione dei costi, della reportistica e della documentazione delle attività relative al personale, nella forma elettronica e/o cartacea necessaria per la gestione del progetto e per consentire gli adempimenti richiesti nell’ambito dell’Azione del PdZ.</w:t>
      </w:r>
    </w:p>
    <w:p>
      <w:pPr>
        <w:pStyle w:val="Normal"/>
        <w:numPr>
          <w:ilvl w:val="0"/>
          <w:numId w:val="5"/>
        </w:numPr>
        <w:tabs>
          <w:tab w:val="left" w:pos="5103" w:leader="none"/>
        </w:tabs>
        <w:jc w:val="both"/>
        <w:rPr>
          <w:rFonts w:ascii="Centaur" w:hAnsi="Centaur" w:cs="Centaur"/>
          <w:bCs/>
          <w:sz w:val="24"/>
          <w:szCs w:val="24"/>
        </w:rPr>
      </w:pPr>
      <w:r>
        <w:rPr>
          <w:rFonts w:cs="Centaur" w:ascii="Centaur" w:hAnsi="Centaur"/>
          <w:bCs/>
          <w:sz w:val="24"/>
          <w:szCs w:val="24"/>
        </w:rPr>
        <w:t>L'Ente proponente individua</w:t>
      </w:r>
      <w:r>
        <w:rPr>
          <w:rFonts w:cs="Centaur" w:ascii="Centaur" w:hAnsi="Centaur"/>
          <w:bCs/>
          <w:sz w:val="24"/>
          <w:szCs w:val="24"/>
          <w:u w:val="single"/>
        </w:rPr>
        <w:tab/>
      </w:r>
      <w:r>
        <w:rPr>
          <w:rFonts w:cs="Centaur" w:ascii="Centaur" w:hAnsi="Centaur"/>
          <w:bCs/>
          <w:sz w:val="24"/>
          <w:szCs w:val="24"/>
        </w:rPr>
        <w:t>(</w:t>
      </w:r>
      <w:r>
        <w:rPr>
          <w:rFonts w:cs="Centaur" w:ascii="Centaur" w:hAnsi="Centaur"/>
          <w:bCs/>
          <w:i/>
          <w:sz w:val="24"/>
          <w:szCs w:val="24"/>
        </w:rPr>
        <w:t xml:space="preserve">nome e cognome, profilo professionale, titolo di studio, eventuale iscrizione ad albi, numero di ore settimanali in cui la figura professionale sarà dedicata al progetto) </w:t>
      </w:r>
      <w:r>
        <w:rPr>
          <w:rFonts w:cs="Centaur" w:ascii="Centaur" w:hAnsi="Centaur"/>
          <w:bCs/>
          <w:sz w:val="24"/>
          <w:szCs w:val="24"/>
        </w:rPr>
        <w:t>quale Referente del progetto con ruolo di responsabile organizzativo, dedicato alla gestione organizzativa del progetto complessivo, quale interlocutore unico del Comune di ………………., istituzionalmente competente per la gestione del progetto, al quale il Comune possa rivolgersi per le richieste, le informazioni, le segnalazioni di disservizi o di anomalie ed ogni altra comunicazione relativa alla Convenzione. Il Sig./la Sig.ra</w:t>
      </w:r>
      <w:r>
        <w:rPr>
          <w:rFonts w:cs="Centaur" w:ascii="Centaur" w:hAnsi="Centaur"/>
          <w:bCs/>
          <w:sz w:val="24"/>
          <w:szCs w:val="24"/>
          <w:u w:val="single"/>
        </w:rPr>
        <w:tab/>
        <w:tab/>
      </w:r>
      <w:r>
        <w:rPr>
          <w:rFonts w:cs="Centaur" w:ascii="Centaur" w:hAnsi="Centaur"/>
          <w:bCs/>
          <w:sz w:val="24"/>
          <w:szCs w:val="24"/>
        </w:rPr>
        <w:t>è designato/a, a totale carico e onere dell’EAP, quale responsabile dell’esecuzione della Convenzione, costantemente reperibile compatibilmente con gli orari di lavoro, ai recapiti indicati nella Proposta Progettuale.</w:t>
      </w:r>
    </w:p>
    <w:p>
      <w:pPr>
        <w:pStyle w:val="Normal"/>
        <w:numPr>
          <w:ilvl w:val="0"/>
          <w:numId w:val="5"/>
        </w:numPr>
        <w:tabs>
          <w:tab w:val="left" w:pos="5103" w:leader="none"/>
        </w:tabs>
        <w:jc w:val="both"/>
        <w:rPr>
          <w:rFonts w:ascii="Centaur" w:hAnsi="Centaur" w:cs="Centaur"/>
          <w:bCs/>
          <w:sz w:val="24"/>
          <w:szCs w:val="24"/>
        </w:rPr>
      </w:pPr>
      <w:r>
        <w:rPr>
          <w:rFonts w:cs="Centaur" w:ascii="Centaur" w:hAnsi="Centaur"/>
          <w:bCs/>
          <w:sz w:val="24"/>
          <w:szCs w:val="24"/>
        </w:rPr>
        <w:t>In caso di assenza prolungata del Referente del progetto, nel corso dell’esecuzione della Convenzione (superiore a due mesi), l’ETS è tenuto a darne comunicazione tempestiva al Comune di ………………., indicando il nominativo del sostituto individuato, che dovrà possedere gli stessi requisiti del titolare della funzione.</w:t>
      </w:r>
    </w:p>
    <w:p>
      <w:pPr>
        <w:pStyle w:val="Normal"/>
        <w:numPr>
          <w:ilvl w:val="0"/>
          <w:numId w:val="5"/>
        </w:numPr>
        <w:tabs>
          <w:tab w:val="left" w:pos="5103" w:leader="none"/>
        </w:tabs>
        <w:jc w:val="both"/>
        <w:rPr>
          <w:rFonts w:ascii="Centaur" w:hAnsi="Centaur" w:cs="Centaur"/>
          <w:bCs/>
          <w:sz w:val="24"/>
          <w:szCs w:val="24"/>
        </w:rPr>
      </w:pPr>
      <w:r>
        <w:rPr>
          <w:rFonts w:cs="Centaur" w:ascii="Centaur" w:hAnsi="Centaur"/>
          <w:bCs/>
          <w:sz w:val="24"/>
          <w:szCs w:val="24"/>
        </w:rPr>
        <w:t>Il Referente del progetto:</w:t>
      </w:r>
    </w:p>
    <w:p>
      <w:pPr>
        <w:pStyle w:val="Normal"/>
        <w:numPr>
          <w:ilvl w:val="0"/>
          <w:numId w:val="6"/>
        </w:numPr>
        <w:tabs>
          <w:tab w:val="left" w:pos="5103" w:leader="none"/>
        </w:tabs>
        <w:jc w:val="both"/>
        <w:rPr>
          <w:rFonts w:ascii="Centaur" w:hAnsi="Centaur" w:cs="Centaur"/>
          <w:bCs/>
          <w:sz w:val="24"/>
          <w:szCs w:val="24"/>
        </w:rPr>
      </w:pPr>
      <w:r>
        <w:rPr>
          <w:rFonts w:cs="Centaur" w:ascii="Centaur" w:hAnsi="Centaur"/>
          <w:bCs/>
          <w:sz w:val="24"/>
          <w:szCs w:val="24"/>
        </w:rPr>
        <w:t>deve rendersi disponibile a periodici incontri di programmazione e verifica con il Comune di ………………….;</w:t>
      </w:r>
    </w:p>
    <w:p>
      <w:pPr>
        <w:pStyle w:val="Normal"/>
        <w:numPr>
          <w:ilvl w:val="0"/>
          <w:numId w:val="6"/>
        </w:numPr>
        <w:tabs>
          <w:tab w:val="left" w:pos="5103" w:leader="none"/>
        </w:tabs>
        <w:jc w:val="both"/>
        <w:rPr>
          <w:rFonts w:ascii="Centaur" w:hAnsi="Centaur" w:cs="Centaur"/>
          <w:bCs/>
          <w:sz w:val="24"/>
          <w:szCs w:val="24"/>
        </w:rPr>
      </w:pPr>
      <w:r>
        <w:rPr>
          <w:rFonts w:cs="Centaur" w:ascii="Centaur" w:hAnsi="Centaur"/>
          <w:bCs/>
          <w:sz w:val="24"/>
          <w:szCs w:val="24"/>
        </w:rPr>
        <w:t>è tenuto a segnalare per iscritto al Comune di …………., eventuali problemi e difficoltà riscontrati nei diversicontesti di realizzazione degli interventi stessi;</w:t>
      </w:r>
    </w:p>
    <w:p>
      <w:pPr>
        <w:pStyle w:val="Normal"/>
        <w:numPr>
          <w:ilvl w:val="0"/>
          <w:numId w:val="6"/>
        </w:numPr>
        <w:tabs>
          <w:tab w:val="left" w:pos="5103" w:leader="none"/>
        </w:tabs>
        <w:jc w:val="both"/>
        <w:rPr>
          <w:rFonts w:ascii="Centaur" w:hAnsi="Centaur" w:cs="Centaur"/>
          <w:bCs/>
          <w:sz w:val="24"/>
          <w:szCs w:val="24"/>
        </w:rPr>
      </w:pPr>
      <w:r>
        <w:rPr>
          <w:rFonts w:cs="Centaur" w:ascii="Centaur" w:hAnsi="Centaur"/>
          <w:bCs/>
          <w:sz w:val="24"/>
          <w:szCs w:val="24"/>
        </w:rPr>
        <w:t>provvederà a vigilare affinché ogni fase della realizzazione del progetto risponda a quanto stabilito dai documenti progettuali.</w:t>
      </w:r>
    </w:p>
    <w:p>
      <w:pPr>
        <w:pStyle w:val="Normal"/>
        <w:numPr>
          <w:ilvl w:val="0"/>
          <w:numId w:val="5"/>
        </w:numPr>
        <w:tabs>
          <w:tab w:val="left" w:pos="5103" w:leader="none"/>
        </w:tabs>
        <w:jc w:val="both"/>
        <w:rPr>
          <w:rFonts w:ascii="Centaur" w:hAnsi="Centaur" w:cs="Centaur"/>
          <w:bCs/>
          <w:sz w:val="24"/>
          <w:szCs w:val="24"/>
        </w:rPr>
      </w:pPr>
      <w:r>
        <w:rPr>
          <w:rFonts w:cs="Centaur" w:ascii="Centaur" w:hAnsi="Centaur"/>
          <w:bCs/>
          <w:sz w:val="24"/>
          <w:szCs w:val="24"/>
        </w:rPr>
        <w:t>L’EAP si impegna a garantire adeguate modalità organizzative nel lavoro e idonea gestione delle risorse professionali coinvolte attraverso attività di programmazione e coordinamento, riunioni periodiche, aggiornamento e formazione del personale coinvolto, anche attraverso la partecipazione a momenti di verifica e di valutazione del lavoro.</w:t>
      </w:r>
    </w:p>
    <w:p>
      <w:pPr>
        <w:pStyle w:val="Normal"/>
        <w:numPr>
          <w:ilvl w:val="0"/>
          <w:numId w:val="5"/>
        </w:numPr>
        <w:tabs>
          <w:tab w:val="left" w:pos="5103" w:leader="none"/>
        </w:tabs>
        <w:jc w:val="both"/>
        <w:rPr>
          <w:rFonts w:ascii="Centaur" w:hAnsi="Centaur" w:cs="Centaur"/>
          <w:bCs/>
          <w:sz w:val="24"/>
          <w:szCs w:val="24"/>
        </w:rPr>
      </w:pPr>
      <w:r>
        <w:rPr>
          <w:rFonts w:cs="Centaur" w:ascii="Centaur" w:hAnsi="Centaur"/>
          <w:bCs/>
          <w:sz w:val="24"/>
          <w:szCs w:val="24"/>
        </w:rPr>
        <w:t>L’EAP si impegna inoltre a mantenere il più possibile stabili gli operatori per garantire la continuità delle figure operative di riferimento e dovrà adottare idonee misure organizzative per garantire la continuità e contrastare il turn-over del personale. La continuità delle prestazioni dovrà essere garantita anche gestendo le assenze del personale, in modo funzionale al tipo di attività da realizzarsi: con sostituzioni tempestive con operatori parimenti qualificati o con rimodulazioni del calendario di intervento che non compromettano la buona riuscita del programma.</w:t>
      </w:r>
    </w:p>
    <w:p>
      <w:pPr>
        <w:pStyle w:val="Normal"/>
        <w:tabs>
          <w:tab w:val="left" w:pos="5103" w:leader="none"/>
        </w:tabs>
        <w:jc w:val="both"/>
        <w:rPr>
          <w:rFonts w:ascii="Centaur" w:hAnsi="Centaur" w:cs="Centaur"/>
          <w:bCs/>
          <w:sz w:val="24"/>
          <w:szCs w:val="24"/>
        </w:rPr>
      </w:pPr>
      <w:r>
        <w:rPr>
          <w:rFonts w:cs="Centaur" w:ascii="Centaur" w:hAnsi="Centaur"/>
          <w:bCs/>
          <w:sz w:val="24"/>
          <w:szCs w:val="24"/>
        </w:rPr>
        <w:t>8 Per ogni variazione del personale, da intendersi come ammissibile solo per motivi sopravvenuti, imprevisti e imprevedibili e per cause di forza maggiore, dovrà essere data comunicazione via PEC per iscritto all’Amministrazione Procedente, riportando i nominativi del personale sostituito, dei sostituti, con le generalità complete, le rispettive qualifiche, il ruolo assegnato nel progetto e l’esperienza maturata. La comunicazione di ogni variazione dovrà avvenire non oltre tre (3) giorni da ciascuna variazione.</w:t>
      </w:r>
    </w:p>
    <w:p>
      <w:pPr>
        <w:pStyle w:val="Normal"/>
        <w:numPr>
          <w:ilvl w:val="0"/>
          <w:numId w:val="7"/>
        </w:numPr>
        <w:tabs>
          <w:tab w:val="left" w:pos="5103" w:leader="none"/>
        </w:tabs>
        <w:jc w:val="both"/>
        <w:rPr>
          <w:rFonts w:ascii="Centaur" w:hAnsi="Centaur" w:cs="Centaur"/>
          <w:bCs/>
          <w:sz w:val="24"/>
          <w:szCs w:val="24"/>
        </w:rPr>
      </w:pPr>
      <w:r>
        <w:rPr>
          <w:rFonts w:cs="Centaur" w:ascii="Centaur" w:hAnsi="Centaur"/>
          <w:bCs/>
          <w:sz w:val="24"/>
          <w:szCs w:val="24"/>
        </w:rPr>
        <w:t>Il numero del personale e l’organizzazione del servizio individuati congiuntamente dall’EAP e dall’AP nel Progetto Definitivo non possono essere modificati nel corso di validità della presente Convenzione senza un preventivo accordo con la AP.</w:t>
      </w:r>
    </w:p>
    <w:p>
      <w:pPr>
        <w:pStyle w:val="Normal"/>
        <w:numPr>
          <w:ilvl w:val="0"/>
          <w:numId w:val="7"/>
        </w:numPr>
        <w:tabs>
          <w:tab w:val="left" w:pos="426" w:leader="none"/>
        </w:tabs>
        <w:jc w:val="both"/>
        <w:rPr>
          <w:rFonts w:ascii="Centaur" w:hAnsi="Centaur" w:cs="Centaur"/>
          <w:bCs/>
          <w:sz w:val="24"/>
          <w:szCs w:val="24"/>
        </w:rPr>
      </w:pPr>
      <w:r>
        <w:rPr>
          <w:rFonts w:cs="Centaur" w:ascii="Centaur" w:hAnsi="Centaur"/>
          <w:bCs/>
          <w:sz w:val="24"/>
          <w:szCs w:val="24"/>
        </w:rPr>
        <w:t>In ogni caso l’EAP è responsabile del comportamento e dell’idoneità professionale del proprio personale. Qualora il Distretto di ………………… ne ravvisi l’inadeguatezza ne chiederà l’immediata sostituzione. Su motivata richiesta dell’AP, l’EAP ha l’obbligo di sostituire il personale ritenuto non idoneo al servizio senza che ciò possa costituire motivo di richiesta di ulteriori compensi oltre a quelli stabiliti.</w:t>
      </w:r>
    </w:p>
    <w:p>
      <w:pPr>
        <w:pStyle w:val="Normal"/>
        <w:numPr>
          <w:ilvl w:val="0"/>
          <w:numId w:val="7"/>
        </w:numPr>
        <w:jc w:val="both"/>
        <w:rPr>
          <w:rFonts w:ascii="Centaur" w:hAnsi="Centaur" w:cs="Centaur"/>
          <w:bCs/>
          <w:sz w:val="24"/>
          <w:szCs w:val="24"/>
        </w:rPr>
      </w:pPr>
      <w:r>
        <w:rPr>
          <w:rFonts w:cs="Centaur" w:ascii="Centaur" w:hAnsi="Centaur"/>
          <w:bCs/>
          <w:sz w:val="24"/>
          <w:szCs w:val="24"/>
        </w:rPr>
        <w:t xml:space="preserve">L’EAP dovrà attuare nei confronti dei lavoratori propri dipendenti, condizioni contrattuali, normative e retributive non inferiori a quelle risultanti dai contratti collettivi di lavoro, applicabili dalla data della proposta progettuale, alla categoria e nella località in cui si svolge il progetto, nonché rispettare le condizioni risultanti dalle successive integrazioni e in genere ogni altro contratto collettivo applicabile nelle località che, per categoria, venga successivamente stipulato, anche se non risultasse aderente alle Associazioni stipulanti o recedesse da esse. L’EAP è tenuto, altresì, a continuare ad applicare i su indicati contratti collettivi anche dopo la scadenza e fino alla loro sostituzione o rinnovo, fatto in ogni caso salvo il trattamento di miglior favore per il dipendente. </w:t>
      </w:r>
    </w:p>
    <w:p>
      <w:pPr>
        <w:pStyle w:val="Normal"/>
        <w:ind w:left="312" w:hanging="0"/>
        <w:jc w:val="both"/>
        <w:rPr>
          <w:rFonts w:ascii="Centaur" w:hAnsi="Centaur" w:cs="Centaur"/>
          <w:bCs/>
          <w:sz w:val="24"/>
          <w:szCs w:val="24"/>
        </w:rPr>
      </w:pPr>
      <w:r>
        <w:rPr>
          <w:rFonts w:cs="Centaur" w:ascii="Centaur" w:hAnsi="Centaur"/>
          <w:bCs/>
          <w:sz w:val="24"/>
          <w:szCs w:val="24"/>
        </w:rPr>
        <w:t>I suddetti obblighi vincolano l’EAP anche nel caso in cui lo stesso non abbia aderito alle associazioni sindacali o abbia receduto da esse.</w:t>
      </w:r>
    </w:p>
    <w:p>
      <w:pPr>
        <w:pStyle w:val="Normal"/>
        <w:numPr>
          <w:ilvl w:val="0"/>
          <w:numId w:val="7"/>
        </w:numPr>
        <w:tabs>
          <w:tab w:val="left" w:pos="426" w:leader="none"/>
        </w:tabs>
        <w:jc w:val="both"/>
        <w:rPr>
          <w:rFonts w:ascii="Centaur" w:hAnsi="Centaur" w:cs="Centaur"/>
          <w:bCs/>
          <w:sz w:val="24"/>
          <w:szCs w:val="24"/>
        </w:rPr>
      </w:pPr>
      <w:r>
        <w:rPr>
          <w:rFonts w:cs="Centaur" w:ascii="Centaur" w:hAnsi="Centaur"/>
          <w:bCs/>
          <w:sz w:val="24"/>
          <w:szCs w:val="24"/>
        </w:rPr>
        <w:t>L’EAP dovrà garantire l’osservanza delle norme derivanti da leggi, decreti e disposizioni regolamentari vigenti, relativi ad assunzione, assicurazioni obbligatorie, antinfortunistica, previdenza e assistenza nei confronti del proprio personale e, in generale, di tutte le norme vigenti in materia di lavoro, assumendo a proprio carico tutti gli oneri relativi. In particolare, l’EAP:</w:t>
      </w:r>
    </w:p>
    <w:p>
      <w:pPr>
        <w:pStyle w:val="Normal"/>
        <w:tabs>
          <w:tab w:val="left" w:pos="5103" w:leader="none"/>
        </w:tabs>
        <w:jc w:val="both"/>
        <w:rPr>
          <w:rFonts w:ascii="Centaur" w:hAnsi="Centaur" w:cs="Centaur"/>
          <w:bCs/>
          <w:sz w:val="24"/>
          <w:szCs w:val="24"/>
        </w:rPr>
      </w:pPr>
      <w:r>
        <w:rPr>
          <w:rFonts w:cs="Centaur" w:ascii="Centaur" w:hAnsi="Centaur"/>
          <w:bCs/>
          <w:sz w:val="24"/>
          <w:szCs w:val="24"/>
        </w:rPr>
        <w:t>13.  deve sostenere gli oneri assicurativi, antinfortunistici, assistenziali e previdenziali di tutto il personale impiegato;</w:t>
      </w:r>
    </w:p>
    <w:p>
      <w:pPr>
        <w:pStyle w:val="Normal"/>
        <w:numPr>
          <w:ilvl w:val="0"/>
          <w:numId w:val="8"/>
        </w:numPr>
        <w:tabs>
          <w:tab w:val="left" w:pos="5103" w:leader="none"/>
        </w:tabs>
        <w:jc w:val="both"/>
        <w:rPr>
          <w:rFonts w:ascii="Centaur" w:hAnsi="Centaur" w:cs="Centaur"/>
          <w:bCs/>
          <w:sz w:val="24"/>
          <w:szCs w:val="24"/>
        </w:rPr>
      </w:pPr>
      <w:r>
        <w:rPr>
          <w:rFonts w:cs="Centaur" w:ascii="Centaur" w:hAnsi="Centaur"/>
          <w:bCs/>
          <w:sz w:val="24"/>
          <w:szCs w:val="24"/>
        </w:rPr>
        <w:t>dovrà attuare l’osservanza delle norme derivanti da vigenti leggi, decreti e disposizioni regolamentari, relativi alla prevenzione degli infortuni sul lavoro e di ogni altra disposizione in vigore, o che potrà intervenire in corso di esercizio, per la tutela dei lavoratori;</w:t>
      </w:r>
    </w:p>
    <w:p>
      <w:pPr>
        <w:pStyle w:val="Normal"/>
        <w:numPr>
          <w:ilvl w:val="0"/>
          <w:numId w:val="8"/>
        </w:numPr>
        <w:tabs>
          <w:tab w:val="left" w:pos="5103" w:leader="none"/>
        </w:tabs>
        <w:jc w:val="both"/>
        <w:rPr>
          <w:rFonts w:ascii="Centaur" w:hAnsi="Centaur" w:cs="Centaur"/>
          <w:bCs/>
          <w:sz w:val="24"/>
          <w:szCs w:val="24"/>
        </w:rPr>
      </w:pPr>
      <w:r>
        <w:rPr>
          <w:rFonts w:cs="Centaur" w:ascii="Centaur" w:hAnsi="Centaur"/>
          <w:bCs/>
          <w:sz w:val="24"/>
          <w:szCs w:val="24"/>
        </w:rPr>
        <w:t>assume piena e diretta responsabilità in ordine alla garanzia della sicurezza sui luoghi di lavoro, nel rigoroso rispetto di ogni adempimento prescritto dalla disciplina di cui al D.Lgs. 81/2008 e ss.mm.ii;</w:t>
      </w:r>
    </w:p>
    <w:p>
      <w:pPr>
        <w:pStyle w:val="Normal"/>
        <w:numPr>
          <w:ilvl w:val="0"/>
          <w:numId w:val="8"/>
        </w:numPr>
        <w:tabs>
          <w:tab w:val="left" w:pos="5103" w:leader="none"/>
        </w:tabs>
        <w:jc w:val="both"/>
        <w:rPr>
          <w:rFonts w:ascii="Centaur" w:hAnsi="Centaur" w:cs="Centaur"/>
          <w:bCs/>
          <w:sz w:val="24"/>
          <w:szCs w:val="24"/>
        </w:rPr>
      </w:pPr>
      <w:r>
        <w:rPr>
          <w:rFonts w:cs="Centaur" w:ascii="Centaur" w:hAnsi="Centaur"/>
          <w:bCs/>
          <w:sz w:val="24"/>
          <w:szCs w:val="24"/>
        </w:rPr>
        <w:t>assume piena e diretta responsabilità in tema di igiene e sicurezza nei luoghi di lavoro;</w:t>
      </w:r>
    </w:p>
    <w:p>
      <w:pPr>
        <w:pStyle w:val="Normal"/>
        <w:numPr>
          <w:ilvl w:val="0"/>
          <w:numId w:val="8"/>
        </w:numPr>
        <w:tabs>
          <w:tab w:val="left" w:pos="5103" w:leader="none"/>
        </w:tabs>
        <w:jc w:val="both"/>
        <w:rPr>
          <w:rFonts w:ascii="Centaur" w:hAnsi="Centaur" w:cs="Centaur"/>
          <w:bCs/>
          <w:sz w:val="24"/>
          <w:szCs w:val="24"/>
        </w:rPr>
      </w:pPr>
      <w:r>
        <w:rPr>
          <w:rFonts w:cs="Centaur" w:ascii="Centaur" w:hAnsi="Centaur"/>
          <w:bCs/>
          <w:sz w:val="24"/>
          <w:szCs w:val="24"/>
        </w:rPr>
        <w:t>dovrà rispettare tutti gli adempimenti previsti dall’art. 17 della L. 68/1999.</w:t>
      </w:r>
    </w:p>
    <w:p>
      <w:pPr>
        <w:pStyle w:val="Normal"/>
        <w:numPr>
          <w:ilvl w:val="0"/>
          <w:numId w:val="9"/>
        </w:numPr>
        <w:tabs>
          <w:tab w:val="left" w:pos="5103" w:leader="none"/>
        </w:tabs>
        <w:jc w:val="both"/>
        <w:rPr>
          <w:rFonts w:ascii="Centaur" w:hAnsi="Centaur" w:cs="Centaur"/>
          <w:bCs/>
          <w:sz w:val="24"/>
          <w:szCs w:val="24"/>
        </w:rPr>
      </w:pPr>
      <w:r>
        <w:rPr>
          <w:rFonts w:cs="Centaur" w:ascii="Centaur" w:hAnsi="Centaur"/>
          <w:bCs/>
          <w:sz w:val="24"/>
          <w:szCs w:val="24"/>
        </w:rPr>
        <w:t>L’EAP può anche utilizzare personale con un rapporto di lavoro autonomo. In tal caso comunica preventivamente l’utilizzo di tale personale. In ogni caso, l’utilizzo di lavoro autonomo può avvenire solo nel pieno rispetto della normativa vigente. Si precisa che, in attuazione a quanto suddetto, l’EAP deve assicurare la tutela indicata dalle norme relative alla sicurezza sui luoghi di lavoro, di cui al d.lgs. 81/2008.</w:t>
      </w:r>
    </w:p>
    <w:p>
      <w:pPr>
        <w:pStyle w:val="Normal"/>
        <w:numPr>
          <w:ilvl w:val="0"/>
          <w:numId w:val="9"/>
        </w:numPr>
        <w:tabs>
          <w:tab w:val="left" w:pos="5103" w:leader="none"/>
        </w:tabs>
        <w:jc w:val="both"/>
        <w:rPr>
          <w:rFonts w:ascii="Centaur" w:hAnsi="Centaur" w:cs="Centaur"/>
          <w:bCs/>
          <w:sz w:val="24"/>
          <w:szCs w:val="24"/>
        </w:rPr>
      </w:pPr>
      <w:r>
        <w:rPr>
          <w:rFonts w:cs="Centaur" w:ascii="Centaur" w:hAnsi="Centaur"/>
          <w:bCs/>
          <w:sz w:val="24"/>
          <w:szCs w:val="24"/>
        </w:rPr>
        <w:t>In relazione all'inesistenza della situazione di cui all’art. 53, comma 16 ter del D.Lgs. n. 165/2001, introdotto dall’art. 1, comma 42, della Legge n. 190/2012 “Disposizioni per la prevenzione e la repressione della corruzione e dell’illegalità nella pubblica amministrazione”, l’EAP selezionato è tenuto a non concludere contratti o conferire incarichi di attività lavorativa o professionale ai soggetti indicati nell’art. 53, comma 16 ter, ,del D. Lgs. n. 165/2001 (ex dipendenti pubblici cessati dal rapporto di pubblico impiego che negli ultimi tre anni di servizio hanno esercitato poteri autoritativi o negoziali per conto delle Pubbliche Amministrazioni a cui sono equiparati anche i titolari di incarichi di cui al D. Lgs. n. 39/2013 ivi compresi i soggetti esterni con i quali l’Amministrazione stabilisce un rapporto di lavoro, subordinato od autonomo) nel triennio successivo alla cessazione del rapporto di pubblico impiego. L’accertata violazione di tale disposizione potrà essere causa di risoluzione di diritto del rapporto.</w:t>
      </w:r>
    </w:p>
    <w:p>
      <w:pPr>
        <w:pStyle w:val="Normal"/>
        <w:numPr>
          <w:ilvl w:val="0"/>
          <w:numId w:val="9"/>
        </w:numPr>
        <w:tabs>
          <w:tab w:val="left" w:pos="5103" w:leader="none"/>
        </w:tabs>
        <w:jc w:val="both"/>
        <w:rPr>
          <w:rFonts w:ascii="Centaur" w:hAnsi="Centaur" w:cs="Centaur"/>
          <w:bCs/>
          <w:sz w:val="24"/>
          <w:szCs w:val="24"/>
        </w:rPr>
      </w:pPr>
      <w:r>
        <w:rPr>
          <w:rFonts w:cs="Centaur" w:ascii="Centaur" w:hAnsi="Centaur"/>
          <w:bCs/>
          <w:sz w:val="24"/>
          <w:szCs w:val="24"/>
        </w:rPr>
        <w:t>L'EAP dovrà produrre, a richiesta dell’Amministrazione procedente, l’esibizione dei contratti di lavoro, del libro unico del lavoro, del foglio paga e di ogni altra documentazione al fine di verificare la corretta attuazione degli obblighi relativi all’applicazione del CCNL e delle leggi in materia previdenziale, assistenziale e assicurativa.</w:t>
      </w:r>
    </w:p>
    <w:p>
      <w:pPr>
        <w:pStyle w:val="Normal"/>
        <w:numPr>
          <w:ilvl w:val="0"/>
          <w:numId w:val="9"/>
        </w:numPr>
        <w:tabs>
          <w:tab w:val="left" w:pos="5103" w:leader="none"/>
        </w:tabs>
        <w:jc w:val="both"/>
        <w:rPr>
          <w:rFonts w:ascii="Centaur" w:hAnsi="Centaur" w:cs="Centaur"/>
          <w:bCs/>
          <w:sz w:val="24"/>
          <w:szCs w:val="24"/>
        </w:rPr>
      </w:pPr>
      <w:r>
        <w:rPr>
          <w:rFonts w:cs="Centaur" w:ascii="Centaur" w:hAnsi="Centaur"/>
          <w:bCs/>
          <w:sz w:val="24"/>
          <w:szCs w:val="24"/>
        </w:rPr>
        <w:t>La mancata applicazione dei contratti di lavoro, la violazione di norme, il mancato pagamento dei salari mensili o il mancato versamento dei contributi previdenziali o assicurativi, per qualsiasi ragione, potrà essere motivo di risoluzione della Convenzione.</w:t>
      </w:r>
    </w:p>
    <w:p>
      <w:pPr>
        <w:pStyle w:val="Normal"/>
        <w:numPr>
          <w:ilvl w:val="0"/>
          <w:numId w:val="9"/>
        </w:numPr>
        <w:tabs>
          <w:tab w:val="left" w:pos="5103" w:leader="none"/>
        </w:tabs>
        <w:jc w:val="both"/>
        <w:rPr>
          <w:rFonts w:ascii="Centaur" w:hAnsi="Centaur" w:cs="Centaur"/>
          <w:bCs/>
          <w:sz w:val="24"/>
          <w:szCs w:val="24"/>
        </w:rPr>
      </w:pPr>
      <w:r>
        <w:rPr>
          <w:rFonts w:cs="Centaur" w:ascii="Centaur" w:hAnsi="Centaur"/>
          <w:bCs/>
          <w:sz w:val="24"/>
          <w:szCs w:val="24"/>
        </w:rPr>
        <w:t>Il personale impiegato è tenuto al segreto professionale e d’ufficio sulle notizie apprese in relazione al presente rapporto , salvo che le stesse configurino illecito o denuncino un contrasto con quanto pattuito con l’Amministrazione Procedente.</w:t>
      </w:r>
    </w:p>
    <w:p>
      <w:pPr>
        <w:pStyle w:val="Normal"/>
        <w:numPr>
          <w:ilvl w:val="0"/>
          <w:numId w:val="9"/>
        </w:numPr>
        <w:tabs>
          <w:tab w:val="left" w:pos="5103" w:leader="none"/>
        </w:tabs>
        <w:jc w:val="both"/>
        <w:rPr>
          <w:rFonts w:ascii="Centaur" w:hAnsi="Centaur" w:cs="Centaur"/>
          <w:bCs/>
          <w:sz w:val="24"/>
          <w:szCs w:val="24"/>
        </w:rPr>
      </w:pPr>
      <w:r>
        <w:rPr>
          <w:rFonts w:cs="Centaur" w:ascii="Centaur" w:hAnsi="Centaur"/>
          <w:bCs/>
          <w:sz w:val="24"/>
          <w:szCs w:val="24"/>
        </w:rPr>
        <w:t>Nella gestione del servizio l’EAP dovrà impiegare personale di assoluta fiducia e provata riservatezza, soprattutto con riferimento a notizie sugli utenti e sulle loro condizioni personali e di salute psico-fisica. L’EAP è tenuto a dare istruzioni al proprio personale affinché tutte le informazioni inerenti all’esercizio dell’attività svolta vengano considerate riservate e come tali trattate, in osservanza a quanto previsto dalle disposizioni vigenti in materia di privacy.</w:t>
      </w:r>
    </w:p>
    <w:p>
      <w:pPr>
        <w:pStyle w:val="Normal"/>
        <w:numPr>
          <w:ilvl w:val="0"/>
          <w:numId w:val="9"/>
        </w:numPr>
        <w:tabs>
          <w:tab w:val="left" w:pos="5103" w:leader="none"/>
        </w:tabs>
        <w:jc w:val="both"/>
        <w:rPr>
          <w:rFonts w:ascii="Centaur" w:hAnsi="Centaur" w:cs="Centaur"/>
          <w:bCs/>
          <w:sz w:val="24"/>
          <w:szCs w:val="24"/>
        </w:rPr>
      </w:pPr>
      <w:r>
        <w:rPr>
          <w:rFonts w:cs="Centaur" w:ascii="Centaur" w:hAnsi="Centaur"/>
          <w:bCs/>
          <w:sz w:val="24"/>
          <w:szCs w:val="24"/>
        </w:rPr>
        <w:t>Il personale dovrà svolgere periodicamente attività di formazione ed aggiornamento professionale come previsto dal relativo contratto collettivo di lavoro. Tale attività dovrà essere documentata ed a disposizione del personale istituzionalmente preposto ad effettuare i controlli.</w:t>
      </w:r>
    </w:p>
    <w:p>
      <w:pPr>
        <w:pStyle w:val="Normal"/>
        <w:numPr>
          <w:ilvl w:val="0"/>
          <w:numId w:val="9"/>
        </w:numPr>
        <w:tabs>
          <w:tab w:val="left" w:pos="5103" w:leader="none"/>
        </w:tabs>
        <w:jc w:val="both"/>
        <w:rPr>
          <w:rFonts w:ascii="Centaur" w:hAnsi="Centaur" w:cs="Centaur"/>
          <w:bCs/>
          <w:sz w:val="24"/>
          <w:szCs w:val="24"/>
        </w:rPr>
      </w:pPr>
      <w:r>
        <w:rPr>
          <w:rFonts w:cs="Centaur" w:ascii="Centaur" w:hAnsi="Centaur"/>
          <w:bCs/>
          <w:sz w:val="24"/>
          <w:szCs w:val="24"/>
        </w:rPr>
        <w:t>L’EAP, per il proprio personale impiegato a qualsiasi titolo (anche nel caso di lavoratori autonomi e collaboratori esterni), solleva l’AP da qualsiasi obbligo e responsabilità per retribuzioni, contributi assicurativi e previdenziali, assicurazioni, infortuni e responsabilità verso terzi, assumendo ogni onere e responsabilità in merito.</w:t>
      </w:r>
    </w:p>
    <w:p>
      <w:pPr>
        <w:pStyle w:val="Normal"/>
        <w:numPr>
          <w:ilvl w:val="0"/>
          <w:numId w:val="9"/>
        </w:numPr>
        <w:tabs>
          <w:tab w:val="left" w:pos="5103" w:leader="none"/>
        </w:tabs>
        <w:jc w:val="both"/>
        <w:rPr>
          <w:rFonts w:ascii="Centaur" w:hAnsi="Centaur" w:cs="Centaur"/>
          <w:bCs/>
          <w:sz w:val="24"/>
          <w:szCs w:val="24"/>
        </w:rPr>
      </w:pPr>
      <w:r>
        <w:rPr>
          <w:rFonts w:cs="Centaur" w:ascii="Centaur" w:hAnsi="Centaur"/>
          <w:bCs/>
          <w:sz w:val="24"/>
          <w:szCs w:val="24"/>
        </w:rPr>
        <w:t>L’EAP, oltre alle norme della presente Convenzione, deve osservare e far osservare ai propri dipendenti e ad eventuali prestatori occasionali tutte le disposizioni conseguenti a leggi, regolamenti e decreti in vigore o emanati durante il periodo dell’appalto.</w:t>
      </w:r>
    </w:p>
    <w:p>
      <w:pPr>
        <w:pStyle w:val="Normal"/>
        <w:numPr>
          <w:ilvl w:val="0"/>
          <w:numId w:val="9"/>
        </w:numPr>
        <w:tabs>
          <w:tab w:val="left" w:pos="5103" w:leader="none"/>
        </w:tabs>
        <w:jc w:val="both"/>
        <w:rPr>
          <w:rFonts w:ascii="Centaur" w:hAnsi="Centaur" w:cs="Centaur"/>
          <w:bCs/>
          <w:sz w:val="24"/>
          <w:szCs w:val="24"/>
        </w:rPr>
      </w:pPr>
      <w:r>
        <w:rPr>
          <w:rFonts w:cs="Centaur" w:ascii="Centaur" w:hAnsi="Centaur"/>
          <w:bCs/>
          <w:sz w:val="24"/>
          <w:szCs w:val="24"/>
        </w:rPr>
        <w:t>In caso di scioperi del proprio personale l’EAP, ne dovrà dare comunicazione al Comune con un preavviso di almeno tre giorni.</w:t>
      </w:r>
    </w:p>
    <w:p>
      <w:pPr>
        <w:pStyle w:val="Normal"/>
        <w:numPr>
          <w:ilvl w:val="0"/>
          <w:numId w:val="9"/>
        </w:numPr>
        <w:tabs>
          <w:tab w:val="left" w:pos="5103" w:leader="none"/>
        </w:tabs>
        <w:jc w:val="both"/>
        <w:rPr>
          <w:rFonts w:ascii="Centaur" w:hAnsi="Centaur" w:cs="Centaur"/>
          <w:b/>
          <w:b/>
          <w:bCs/>
          <w:sz w:val="24"/>
          <w:szCs w:val="24"/>
        </w:rPr>
      </w:pPr>
      <w:r>
        <w:rPr>
          <w:rFonts w:cs="Centaur" w:ascii="Centaur" w:hAnsi="Centaur"/>
          <w:bCs/>
          <w:sz w:val="24"/>
          <w:szCs w:val="24"/>
        </w:rPr>
        <w:t>L’EAP, dovrà inoltre fornire all’AP, contestualmente alla firma della Convenzione, l’elenco di eventuali fornitori</w:t>
      </w:r>
    </w:p>
    <w:p>
      <w:pPr>
        <w:pStyle w:val="Normal"/>
        <w:tabs>
          <w:tab w:val="left" w:pos="5103" w:leader="none"/>
        </w:tabs>
        <w:ind w:left="312" w:hanging="0"/>
        <w:jc w:val="both"/>
        <w:rPr>
          <w:rFonts w:ascii="Centaur" w:hAnsi="Centaur" w:cs="Centaur"/>
          <w:bCs/>
          <w:sz w:val="24"/>
          <w:szCs w:val="24"/>
        </w:rPr>
      </w:pPr>
      <w:r>
        <w:rPr>
          <w:rFonts w:cs="Centaur" w:ascii="Centaur" w:hAnsi="Centaur"/>
          <w:bCs/>
          <w:sz w:val="24"/>
          <w:szCs w:val="24"/>
        </w:rPr>
      </w:r>
    </w:p>
    <w:p>
      <w:pPr>
        <w:pStyle w:val="Normal"/>
        <w:tabs>
          <w:tab w:val="left" w:pos="5103" w:leader="none"/>
        </w:tabs>
        <w:ind w:left="312" w:hanging="0"/>
        <w:jc w:val="both"/>
        <w:rPr>
          <w:rFonts w:ascii="Centaur" w:hAnsi="Centaur" w:cs="Centaur"/>
          <w:b/>
          <w:b/>
          <w:bCs/>
          <w:sz w:val="24"/>
          <w:szCs w:val="24"/>
        </w:rPr>
      </w:pPr>
      <w:r>
        <w:rPr>
          <w:rFonts w:cs="Centaur" w:ascii="Centaur" w:hAnsi="Centaur"/>
          <w:b/>
          <w:bCs/>
          <w:sz w:val="24"/>
          <w:szCs w:val="24"/>
        </w:rPr>
        <w:t>Art. 6 – Somme liquidabili per la realizzazione degli interventi</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10"/>
        </w:numPr>
        <w:tabs>
          <w:tab w:val="left" w:pos="5103" w:leader="none"/>
        </w:tabs>
        <w:jc w:val="both"/>
        <w:rPr>
          <w:rFonts w:ascii="Centaur" w:hAnsi="Centaur" w:cs="Centaur"/>
          <w:bCs/>
          <w:sz w:val="24"/>
          <w:szCs w:val="24"/>
        </w:rPr>
      </w:pPr>
      <w:r>
        <w:rPr>
          <w:rFonts w:cs="Centaur" w:ascii="Centaur" w:hAnsi="Centaur"/>
          <w:bCs/>
          <w:sz w:val="24"/>
          <w:szCs w:val="24"/>
        </w:rPr>
        <w:t>L’importo massimo riconosciuto a «</w:t>
        <w:tab/>
        <w:t>» per l’espletamento delle attività e degli</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interventi oggetto della presente convenzione è stabilito in € </w:t>
        <w:tab/>
        <w:t>, destinato alla compiuta realizzazione</w:t>
      </w:r>
    </w:p>
    <w:p>
      <w:pPr>
        <w:pStyle w:val="Normal"/>
        <w:tabs>
          <w:tab w:val="left" w:pos="5103" w:leader="none"/>
        </w:tabs>
        <w:jc w:val="both"/>
        <w:rPr>
          <w:rFonts w:ascii="Centaur" w:hAnsi="Centaur" w:cs="Centaur"/>
          <w:bCs/>
          <w:sz w:val="24"/>
          <w:szCs w:val="24"/>
        </w:rPr>
      </w:pPr>
      <w:r>
        <w:rPr>
          <w:rFonts w:cs="Centaur" w:ascii="Centaur" w:hAnsi="Centaur"/>
          <w:bCs/>
          <w:sz w:val="24"/>
          <w:szCs w:val="24"/>
        </w:rPr>
        <w:t>di tutte le fasi progettuali.</w:t>
      </w:r>
    </w:p>
    <w:p>
      <w:pPr>
        <w:pStyle w:val="Normal"/>
        <w:numPr>
          <w:ilvl w:val="0"/>
          <w:numId w:val="10"/>
        </w:numPr>
        <w:tabs>
          <w:tab w:val="left" w:pos="5103" w:leader="none"/>
        </w:tabs>
        <w:jc w:val="both"/>
        <w:rPr>
          <w:rFonts w:ascii="Centaur" w:hAnsi="Centaur" w:cs="Centaur"/>
          <w:bCs/>
          <w:sz w:val="24"/>
          <w:szCs w:val="24"/>
        </w:rPr>
      </w:pPr>
      <w:r>
        <w:rPr>
          <w:rFonts w:cs="Centaur" w:ascii="Centaur" w:hAnsi="Centaur"/>
          <w:bCs/>
          <w:sz w:val="24"/>
          <w:szCs w:val="24"/>
        </w:rPr>
        <w:t>I pagamenti avverranno sulla base delle rendicontazioni prodotte per la realizzazione degli interventi e delle attività, previa presentazione di nota contabile corredata dai relativi giustificativi delle spese sostenute, secondo le seguenti modalità:</w:t>
      </w:r>
    </w:p>
    <w:p>
      <w:pPr>
        <w:pStyle w:val="Normal"/>
        <w:tabs>
          <w:tab w:val="left" w:pos="5103" w:leader="none"/>
        </w:tabs>
        <w:jc w:val="both"/>
        <w:rPr>
          <w:rFonts w:ascii="Centaur" w:hAnsi="Centaur" w:cs="Centaur"/>
          <w:bCs/>
          <w:sz w:val="24"/>
          <w:szCs w:val="24"/>
        </w:rPr>
      </w:pPr>
      <w:r>
        <w:rPr>
          <w:rFonts w:cs="Centaur" w:ascii="Centaur" w:hAnsi="Centaur"/>
          <w:bCs/>
          <w:sz w:val="24"/>
          <w:szCs w:val="24"/>
        </w:rPr>
        <w:t>L’AP erogherà le quote di finanziamento all’EAP selezionato secondo quanto previsto all’avviso Ministeriale alle modalità di pagamento in diverse fasi orientativamente ma non esclusive e oggetto di eventuale modifiche:</w:t>
      </w:r>
    </w:p>
    <w:p>
      <w:pPr>
        <w:pStyle w:val="Normal"/>
        <w:numPr>
          <w:ilvl w:val="1"/>
          <w:numId w:val="10"/>
        </w:numPr>
        <w:tabs>
          <w:tab w:val="left" w:pos="5103" w:leader="none"/>
        </w:tabs>
        <w:jc w:val="both"/>
        <w:rPr>
          <w:rFonts w:ascii="Centaur" w:hAnsi="Centaur" w:cs="Centaur"/>
          <w:bCs/>
          <w:sz w:val="24"/>
          <w:szCs w:val="24"/>
        </w:rPr>
      </w:pPr>
      <w:r>
        <w:rPr>
          <w:rFonts w:cs="Centaur" w:ascii="Centaur" w:hAnsi="Centaur"/>
          <w:bCs/>
          <w:sz w:val="24"/>
          <w:szCs w:val="24"/>
        </w:rPr>
        <w:t>erogazione a titolo di anticipo di una quota pari al 10% del contributo assegnato, previa comunicazione dell’effettivo avvio delle attività e previa stipula di idonea polizza fideiussoria a garanzia della somma;</w:t>
      </w:r>
    </w:p>
    <w:p>
      <w:pPr>
        <w:pStyle w:val="Normal"/>
        <w:numPr>
          <w:ilvl w:val="1"/>
          <w:numId w:val="10"/>
        </w:numPr>
        <w:tabs>
          <w:tab w:val="left" w:pos="5103" w:leader="none"/>
        </w:tabs>
        <w:jc w:val="both"/>
        <w:rPr>
          <w:rFonts w:ascii="Centaur" w:hAnsi="Centaur" w:cs="Centaur"/>
          <w:bCs/>
          <w:sz w:val="24"/>
          <w:szCs w:val="24"/>
        </w:rPr>
      </w:pPr>
      <w:r>
        <w:rPr>
          <w:rFonts w:cs="Centaur" w:ascii="Centaur" w:hAnsi="Centaur"/>
          <w:bCs/>
          <w:sz w:val="24"/>
          <w:szCs w:val="24"/>
        </w:rPr>
        <w:t>primo acconto (a rimborso di quanto effettivamente speso e rendicontato), fino al 35% del finanziamento accordato, previa presentazione di un rapporto intermedio sulle attività svolte e rendicontazione analitica a verifica dell’effettivo utilizzo di almeno il 75% della somma erogata all’avvio delle attività;</w:t>
      </w:r>
    </w:p>
    <w:p>
      <w:pPr>
        <w:pStyle w:val="Normal"/>
        <w:numPr>
          <w:ilvl w:val="1"/>
          <w:numId w:val="10"/>
        </w:numPr>
        <w:tabs>
          <w:tab w:val="left" w:pos="5103" w:leader="none"/>
        </w:tabs>
        <w:jc w:val="both"/>
        <w:rPr>
          <w:rFonts w:ascii="Centaur" w:hAnsi="Centaur" w:cs="Centaur"/>
          <w:bCs/>
          <w:sz w:val="24"/>
          <w:szCs w:val="24"/>
        </w:rPr>
      </w:pPr>
      <w:r>
        <w:rPr>
          <w:rFonts w:cs="Centaur" w:ascii="Centaur" w:hAnsi="Centaur"/>
          <w:bCs/>
          <w:sz w:val="24"/>
          <w:szCs w:val="24"/>
        </w:rPr>
        <w:t>secondo acconto (a rimborso di quanto effettivamente speso e rendicontato), fino al 35% del finanziamento accordato, previa presentazione di un rapporto intermedio sulle attività svolte e rendicontazione analitica a verifica dell’effettivo utilizzo di almeno il 75% della somma erogata come primo acconto;</w:t>
      </w:r>
    </w:p>
    <w:p>
      <w:pPr>
        <w:pStyle w:val="Normal"/>
        <w:numPr>
          <w:ilvl w:val="1"/>
          <w:numId w:val="10"/>
        </w:numPr>
        <w:tabs>
          <w:tab w:val="left" w:pos="5103" w:leader="none"/>
        </w:tabs>
        <w:jc w:val="both"/>
        <w:rPr>
          <w:rFonts w:ascii="Centaur" w:hAnsi="Centaur" w:cs="Centaur"/>
          <w:bCs/>
          <w:sz w:val="24"/>
          <w:szCs w:val="24"/>
        </w:rPr>
      </w:pPr>
      <w:r>
        <w:rPr>
          <w:rFonts w:cs="Centaur" w:ascii="Centaur" w:hAnsi="Centaur"/>
          <w:bCs/>
          <w:sz w:val="24"/>
          <w:szCs w:val="24"/>
        </w:rPr>
        <w:t>saldo finale, il restante 20%, a consuntivo, previa presentazione di un rapporto finale sulle attività svolte e rendicontazione finale analitica a verifica delle spese sostenute per l’intero ammontare del finanziamento. Le somme verranno erogate dall’AP, in seguito alla verifica con esito positivo delle spese, unitamente alla comunicazione della avvenuta chiusura dell’intervento di competenza, verificato il conseguimento di Traguardi e Obiettivi.</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7 - Rendicontazione</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11"/>
        </w:numPr>
        <w:tabs>
          <w:tab w:val="left" w:pos="5103" w:leader="none"/>
        </w:tabs>
        <w:jc w:val="both"/>
        <w:rPr>
          <w:rFonts w:ascii="Centaur" w:hAnsi="Centaur" w:cs="Centaur"/>
          <w:bCs/>
          <w:sz w:val="24"/>
          <w:szCs w:val="24"/>
        </w:rPr>
      </w:pPr>
      <w:r>
        <w:rPr>
          <w:rFonts w:cs="Centaur" w:ascii="Centaur" w:hAnsi="Centaur"/>
          <w:bCs/>
          <w:sz w:val="24"/>
          <w:szCs w:val="24"/>
        </w:rPr>
        <w:t>L’EAP selezionato si impegna all’osservanza delle normative vigenti in materia fiscale e deve assicurare l’adozione di misure adeguate volte a rispettare il principio di sana gestione finanziaria.</w:t>
      </w:r>
    </w:p>
    <w:p>
      <w:pPr>
        <w:pStyle w:val="Normal"/>
        <w:numPr>
          <w:ilvl w:val="0"/>
          <w:numId w:val="11"/>
        </w:numPr>
        <w:tabs>
          <w:tab w:val="left" w:pos="5103" w:leader="none"/>
        </w:tabs>
        <w:jc w:val="both"/>
        <w:rPr>
          <w:rFonts w:ascii="Centaur" w:hAnsi="Centaur" w:cs="Centaur"/>
          <w:bCs/>
          <w:sz w:val="24"/>
          <w:szCs w:val="24"/>
        </w:rPr>
      </w:pPr>
      <w:r>
        <w:rPr>
          <w:rFonts w:cs="Centaur" w:ascii="Centaur" w:hAnsi="Centaur"/>
          <w:bCs/>
          <w:sz w:val="24"/>
          <w:szCs w:val="24"/>
        </w:rPr>
        <w:t>La somma riconosciuta per la realizzazione del PD deve essere riferita a spese effettivamente sostenute, analiticamente rendicontate e corroborate da documentazione fiscalmente valida, secondo quanto previsto dal presente articolo.</w:t>
      </w:r>
    </w:p>
    <w:p>
      <w:pPr>
        <w:pStyle w:val="Normal"/>
        <w:numPr>
          <w:ilvl w:val="0"/>
          <w:numId w:val="11"/>
        </w:numPr>
        <w:tabs>
          <w:tab w:val="left" w:pos="5103" w:leader="none"/>
        </w:tabs>
        <w:jc w:val="both"/>
        <w:rPr>
          <w:rFonts w:ascii="Centaur" w:hAnsi="Centaur" w:cs="Centaur"/>
          <w:bCs/>
          <w:sz w:val="24"/>
          <w:szCs w:val="24"/>
        </w:rPr>
      </w:pPr>
      <w:r>
        <w:rPr>
          <w:rFonts w:cs="Centaur" w:ascii="Centaur" w:hAnsi="Centaur"/>
          <w:bCs/>
          <w:sz w:val="24"/>
          <w:szCs w:val="24"/>
        </w:rPr>
        <w:t>L’AP, prima di procedere all’erogazione delle risorse, provvederà a verifiche amministrative contabili al fine di accertare la regolarità delle richieste di cui ai suddetti punti, sulla base delle rendicontazioni prodotte per la realizzazione degli interventi e delle attività, previa presentazione di nota contabile corredata dai relativi giustificativi delle spese sostenute. La rendicontazione delle spese deve tenere conto che le risorse riconosciute agli Enti di Terzo Settore sono riconducibili ai contributi, secondo la disciplina prevista dall’articolo 12 della legge 241/1990. A ragione di ciò, la rendicontazione dovrà essere analitica e inerente alle attività svolte, pertanto sono richiesti:</w:t>
      </w:r>
    </w:p>
    <w:p>
      <w:pPr>
        <w:pStyle w:val="Normal"/>
        <w:numPr>
          <w:ilvl w:val="1"/>
          <w:numId w:val="11"/>
        </w:numPr>
        <w:tabs>
          <w:tab w:val="left" w:pos="5103" w:leader="none"/>
        </w:tabs>
        <w:jc w:val="both"/>
        <w:rPr>
          <w:rFonts w:ascii="Centaur" w:hAnsi="Centaur" w:cs="Centaur"/>
          <w:bCs/>
          <w:sz w:val="24"/>
          <w:szCs w:val="24"/>
        </w:rPr>
      </w:pPr>
      <w:r>
        <w:rPr>
          <w:rFonts w:cs="Centaur" w:ascii="Centaur" w:hAnsi="Centaur"/>
          <w:bCs/>
          <w:sz w:val="24"/>
          <w:szCs w:val="24"/>
        </w:rPr>
        <w:t>Stati di avanzamento delle attività, secondo la tempistica e le modalità contenute nella presente Convenzione, corredati dalla seguente documentazione:</w:t>
      </w:r>
    </w:p>
    <w:p>
      <w:pPr>
        <w:pStyle w:val="Normal"/>
        <w:numPr>
          <w:ilvl w:val="1"/>
          <w:numId w:val="11"/>
        </w:numPr>
        <w:tabs>
          <w:tab w:val="left" w:pos="5103" w:leader="none"/>
        </w:tabs>
        <w:jc w:val="both"/>
        <w:rPr>
          <w:rFonts w:ascii="Centaur" w:hAnsi="Centaur" w:cs="Centaur"/>
          <w:bCs/>
          <w:sz w:val="24"/>
          <w:szCs w:val="24"/>
        </w:rPr>
      </w:pPr>
      <w:r>
        <w:rPr>
          <w:rFonts w:cs="Centaur" w:ascii="Centaur" w:hAnsi="Centaur"/>
          <w:bCs/>
          <w:sz w:val="24"/>
          <w:szCs w:val="24"/>
          <w:u w:val="single"/>
        </w:rPr>
        <w:t>Per le spese del personale:</w:t>
      </w:r>
    </w:p>
    <w:p>
      <w:pPr>
        <w:pStyle w:val="Normal"/>
        <w:numPr>
          <w:ilvl w:val="0"/>
          <w:numId w:val="12"/>
        </w:numPr>
        <w:tabs>
          <w:tab w:val="left" w:pos="5103" w:leader="none"/>
        </w:tabs>
        <w:jc w:val="both"/>
        <w:rPr>
          <w:rFonts w:ascii="Centaur" w:hAnsi="Centaur" w:cs="Centaur"/>
          <w:bCs/>
          <w:sz w:val="24"/>
          <w:szCs w:val="24"/>
        </w:rPr>
      </w:pPr>
      <w:r>
        <w:rPr>
          <w:rFonts w:cs="Centaur" w:ascii="Centaur" w:hAnsi="Centaur"/>
          <w:bCs/>
          <w:sz w:val="24"/>
          <w:szCs w:val="24"/>
        </w:rPr>
        <w:t>Riepilogo complessivo delle risorse umane impegnate, compresi i volontari stabili</w:t>
      </w:r>
    </w:p>
    <w:p>
      <w:pPr>
        <w:pStyle w:val="Normal"/>
        <w:numPr>
          <w:ilvl w:val="0"/>
          <w:numId w:val="12"/>
        </w:numPr>
        <w:tabs>
          <w:tab w:val="left" w:pos="5103" w:leader="none"/>
        </w:tabs>
        <w:jc w:val="both"/>
        <w:rPr>
          <w:rFonts w:ascii="Centaur" w:hAnsi="Centaur" w:cs="Centaur"/>
          <w:bCs/>
          <w:sz w:val="24"/>
          <w:szCs w:val="24"/>
        </w:rPr>
      </w:pPr>
      <w:r>
        <w:rPr>
          <w:rFonts w:cs="Centaur" w:ascii="Centaur" w:hAnsi="Centaur"/>
          <w:bCs/>
          <w:sz w:val="24"/>
          <w:szCs w:val="24"/>
        </w:rPr>
        <w:t>Timesheet mensile per ogni risorsa umana impegnata con descrizione dettagliata delle attività realizzate</w:t>
      </w:r>
    </w:p>
    <w:p>
      <w:pPr>
        <w:pStyle w:val="Normal"/>
        <w:numPr>
          <w:ilvl w:val="0"/>
          <w:numId w:val="12"/>
        </w:numPr>
        <w:tabs>
          <w:tab w:val="left" w:pos="5103" w:leader="none"/>
        </w:tabs>
        <w:jc w:val="both"/>
        <w:rPr>
          <w:rFonts w:ascii="Centaur" w:hAnsi="Centaur" w:cs="Centaur"/>
          <w:bCs/>
          <w:sz w:val="24"/>
          <w:szCs w:val="24"/>
        </w:rPr>
      </w:pPr>
      <w:r>
        <w:rPr>
          <w:rFonts w:cs="Centaur" w:ascii="Centaur" w:hAnsi="Centaur"/>
          <w:bCs/>
          <w:sz w:val="24"/>
          <w:szCs w:val="24"/>
        </w:rPr>
        <w:t>Copia dei contratti di lavoro sottoscritti</w:t>
      </w:r>
    </w:p>
    <w:p>
      <w:pPr>
        <w:pStyle w:val="Normal"/>
        <w:numPr>
          <w:ilvl w:val="0"/>
          <w:numId w:val="12"/>
        </w:numPr>
        <w:tabs>
          <w:tab w:val="left" w:pos="5103" w:leader="none"/>
        </w:tabs>
        <w:jc w:val="both"/>
        <w:rPr>
          <w:rFonts w:ascii="Centaur" w:hAnsi="Centaur" w:cs="Centaur"/>
          <w:bCs/>
          <w:sz w:val="24"/>
          <w:szCs w:val="24"/>
        </w:rPr>
      </w:pPr>
      <w:r>
        <w:rPr>
          <w:rFonts w:cs="Centaur" w:ascii="Centaur" w:hAnsi="Centaur"/>
          <w:bCs/>
          <w:sz w:val="24"/>
          <w:szCs w:val="24"/>
        </w:rPr>
        <w:t>Ordine di servizio contenente l’assegnazione dell’incarico alla risorsa umana</w:t>
      </w:r>
    </w:p>
    <w:p>
      <w:pPr>
        <w:pStyle w:val="Normal"/>
        <w:numPr>
          <w:ilvl w:val="0"/>
          <w:numId w:val="12"/>
        </w:numPr>
        <w:tabs>
          <w:tab w:val="left" w:pos="5103" w:leader="none"/>
        </w:tabs>
        <w:jc w:val="both"/>
        <w:rPr>
          <w:rFonts w:ascii="Centaur" w:hAnsi="Centaur" w:cs="Centaur"/>
          <w:bCs/>
          <w:sz w:val="24"/>
          <w:szCs w:val="24"/>
        </w:rPr>
      </w:pPr>
      <w:r>
        <w:rPr>
          <w:rFonts w:cs="Centaur" w:ascii="Centaur" w:hAnsi="Centaur"/>
          <w:bCs/>
          <w:sz w:val="24"/>
          <w:szCs w:val="24"/>
        </w:rPr>
        <w:t>Relazione delle attività svolte dalle risorse umane impegnate</w:t>
      </w:r>
    </w:p>
    <w:p>
      <w:pPr>
        <w:pStyle w:val="Normal"/>
        <w:numPr>
          <w:ilvl w:val="0"/>
          <w:numId w:val="12"/>
        </w:numPr>
        <w:tabs>
          <w:tab w:val="left" w:pos="5103" w:leader="none"/>
        </w:tabs>
        <w:jc w:val="both"/>
        <w:rPr>
          <w:rFonts w:ascii="Centaur" w:hAnsi="Centaur" w:cs="Centaur"/>
          <w:bCs/>
          <w:sz w:val="24"/>
          <w:szCs w:val="24"/>
        </w:rPr>
      </w:pPr>
      <w:r>
        <w:rPr>
          <w:rFonts w:cs="Centaur" w:ascii="Centaur" w:hAnsi="Centaur"/>
          <w:bCs/>
          <w:sz w:val="24"/>
          <w:szCs w:val="24"/>
        </w:rPr>
        <w:t>Buste paga / Cedolini indicanti la quota parte imputata al progetto</w:t>
      </w:r>
    </w:p>
    <w:p>
      <w:pPr>
        <w:pStyle w:val="Normal"/>
        <w:numPr>
          <w:ilvl w:val="0"/>
          <w:numId w:val="12"/>
        </w:numPr>
        <w:tabs>
          <w:tab w:val="left" w:pos="5103" w:leader="none"/>
        </w:tabs>
        <w:jc w:val="both"/>
        <w:rPr>
          <w:rFonts w:ascii="Centaur" w:hAnsi="Centaur" w:cs="Centaur"/>
          <w:bCs/>
          <w:sz w:val="24"/>
          <w:szCs w:val="24"/>
        </w:rPr>
      </w:pPr>
      <w:r>
        <w:rPr>
          <w:rFonts w:cs="Centaur" w:ascii="Centaur" w:hAnsi="Centaur"/>
          <w:bCs/>
          <w:sz w:val="24"/>
          <w:szCs w:val="24"/>
        </w:rPr>
        <w:t>Quietanza di pagamento del giustificativo di spesa corredato da copia dell’estratto del conto corrente</w:t>
      </w:r>
    </w:p>
    <w:p>
      <w:pPr>
        <w:pStyle w:val="Normal"/>
        <w:numPr>
          <w:ilvl w:val="0"/>
          <w:numId w:val="12"/>
        </w:numPr>
        <w:tabs>
          <w:tab w:val="left" w:pos="5103" w:leader="none"/>
        </w:tabs>
        <w:jc w:val="both"/>
        <w:rPr>
          <w:rFonts w:ascii="Centaur" w:hAnsi="Centaur" w:cs="Centaur"/>
          <w:bCs/>
          <w:sz w:val="24"/>
          <w:szCs w:val="24"/>
        </w:rPr>
      </w:pPr>
      <w:r>
        <w:rPr>
          <w:rFonts w:cs="Centaur" w:ascii="Centaur" w:hAnsi="Centaur"/>
          <w:bCs/>
          <w:sz w:val="24"/>
          <w:szCs w:val="24"/>
        </w:rPr>
        <w:t>Attestazioni circa i versamenti erariali, previdenziali ed assistenziali versati</w:t>
      </w:r>
    </w:p>
    <w:p>
      <w:pPr>
        <w:pStyle w:val="Normal"/>
        <w:numPr>
          <w:ilvl w:val="1"/>
          <w:numId w:val="11"/>
        </w:numPr>
        <w:tabs>
          <w:tab w:val="left" w:pos="5103" w:leader="none"/>
        </w:tabs>
        <w:jc w:val="both"/>
        <w:rPr>
          <w:rFonts w:ascii="Centaur" w:hAnsi="Centaur" w:cs="Centaur"/>
          <w:bCs/>
          <w:sz w:val="24"/>
          <w:szCs w:val="24"/>
        </w:rPr>
      </w:pPr>
      <w:r>
        <w:rPr>
          <w:rFonts w:cs="Centaur" w:ascii="Centaur" w:hAnsi="Centaur"/>
          <w:bCs/>
          <w:sz w:val="24"/>
          <w:szCs w:val="24"/>
          <w:u w:val="single"/>
        </w:rPr>
        <w:t>Incarichi – partite I.V.A.</w:t>
      </w:r>
    </w:p>
    <w:p>
      <w:pPr>
        <w:pStyle w:val="Normal"/>
        <w:numPr>
          <w:ilvl w:val="0"/>
          <w:numId w:val="13"/>
        </w:numPr>
        <w:tabs>
          <w:tab w:val="left" w:pos="5103" w:leader="none"/>
        </w:tabs>
        <w:jc w:val="both"/>
        <w:rPr>
          <w:rFonts w:ascii="Centaur" w:hAnsi="Centaur" w:cs="Centaur"/>
          <w:bCs/>
          <w:sz w:val="24"/>
          <w:szCs w:val="24"/>
        </w:rPr>
      </w:pPr>
      <w:r>
        <w:rPr>
          <w:rFonts w:cs="Centaur" w:ascii="Centaur" w:hAnsi="Centaur"/>
          <w:bCs/>
          <w:sz w:val="24"/>
          <w:szCs w:val="24"/>
        </w:rPr>
        <w:t>Contratto di prestazione/lettera di incarico sottoscritti</w:t>
      </w:r>
    </w:p>
    <w:p>
      <w:pPr>
        <w:pStyle w:val="Normal"/>
        <w:numPr>
          <w:ilvl w:val="0"/>
          <w:numId w:val="13"/>
        </w:numPr>
        <w:tabs>
          <w:tab w:val="left" w:pos="5103" w:leader="none"/>
        </w:tabs>
        <w:jc w:val="both"/>
        <w:rPr>
          <w:rFonts w:ascii="Centaur" w:hAnsi="Centaur" w:cs="Centaur"/>
          <w:bCs/>
          <w:sz w:val="24"/>
          <w:szCs w:val="24"/>
        </w:rPr>
      </w:pPr>
      <w:r>
        <w:rPr>
          <w:rFonts w:cs="Centaur" w:ascii="Centaur" w:hAnsi="Centaur"/>
          <w:bCs/>
          <w:sz w:val="24"/>
          <w:szCs w:val="24"/>
        </w:rPr>
        <w:t>Curriculum vitae e documento di identità</w:t>
      </w:r>
    </w:p>
    <w:p>
      <w:pPr>
        <w:pStyle w:val="Normal"/>
        <w:numPr>
          <w:ilvl w:val="0"/>
          <w:numId w:val="13"/>
        </w:numPr>
        <w:tabs>
          <w:tab w:val="left" w:pos="5103" w:leader="none"/>
        </w:tabs>
        <w:jc w:val="both"/>
        <w:rPr>
          <w:rFonts w:ascii="Centaur" w:hAnsi="Centaur" w:cs="Centaur"/>
          <w:bCs/>
          <w:sz w:val="24"/>
          <w:szCs w:val="24"/>
        </w:rPr>
      </w:pPr>
      <w:r>
        <w:rPr>
          <w:rFonts w:cs="Centaur" w:ascii="Centaur" w:hAnsi="Centaur"/>
          <w:bCs/>
          <w:sz w:val="24"/>
          <w:szCs w:val="24"/>
        </w:rPr>
        <w:t>Timesheet mensile individuale con descrizione dettagliata delle attività realizzate</w:t>
      </w:r>
    </w:p>
    <w:p>
      <w:pPr>
        <w:pStyle w:val="Normal"/>
        <w:numPr>
          <w:ilvl w:val="0"/>
          <w:numId w:val="13"/>
        </w:numPr>
        <w:tabs>
          <w:tab w:val="left" w:pos="5103" w:leader="none"/>
        </w:tabs>
        <w:jc w:val="both"/>
        <w:rPr>
          <w:rFonts w:ascii="Centaur" w:hAnsi="Centaur" w:cs="Centaur"/>
          <w:bCs/>
          <w:sz w:val="24"/>
          <w:szCs w:val="24"/>
        </w:rPr>
      </w:pPr>
      <w:r>
        <w:rPr>
          <w:rFonts w:cs="Centaur" w:ascii="Centaur" w:hAnsi="Centaur"/>
          <w:bCs/>
          <w:sz w:val="24"/>
          <w:szCs w:val="24"/>
        </w:rPr>
        <w:t>Fattura o altro documento contabile equivalente</w:t>
      </w:r>
    </w:p>
    <w:p>
      <w:pPr>
        <w:pStyle w:val="Normal"/>
        <w:numPr>
          <w:ilvl w:val="0"/>
          <w:numId w:val="13"/>
        </w:numPr>
        <w:tabs>
          <w:tab w:val="left" w:pos="5103" w:leader="none"/>
        </w:tabs>
        <w:jc w:val="both"/>
        <w:rPr>
          <w:rFonts w:ascii="Centaur" w:hAnsi="Centaur" w:cs="Centaur"/>
          <w:bCs/>
          <w:sz w:val="24"/>
          <w:szCs w:val="24"/>
        </w:rPr>
      </w:pPr>
      <w:r>
        <w:rPr>
          <w:rFonts w:cs="Centaur" w:ascii="Centaur" w:hAnsi="Centaur"/>
          <w:bCs/>
          <w:sz w:val="24"/>
          <w:szCs w:val="24"/>
        </w:rPr>
        <w:t>Quietanza di pagamento del giustificativo di spesa corredato da copia dell’estratto del conto corrente</w:t>
      </w:r>
    </w:p>
    <w:p>
      <w:pPr>
        <w:pStyle w:val="Normal"/>
        <w:numPr>
          <w:ilvl w:val="0"/>
          <w:numId w:val="13"/>
        </w:numPr>
        <w:tabs>
          <w:tab w:val="left" w:pos="5103" w:leader="none"/>
        </w:tabs>
        <w:jc w:val="both"/>
        <w:rPr>
          <w:rFonts w:ascii="Centaur" w:hAnsi="Centaur" w:cs="Centaur"/>
          <w:bCs/>
          <w:sz w:val="24"/>
          <w:szCs w:val="24"/>
        </w:rPr>
      </w:pPr>
      <w:r>
        <w:rPr>
          <w:rFonts w:cs="Centaur" w:ascii="Centaur" w:hAnsi="Centaur"/>
          <w:bCs/>
          <w:sz w:val="24"/>
          <w:szCs w:val="24"/>
        </w:rPr>
        <w:t>Attestazioni circa i versamenti delle ritenute erariali versate</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2"/>
          <w:numId w:val="11"/>
        </w:numPr>
        <w:tabs>
          <w:tab w:val="left" w:pos="5103" w:leader="none"/>
        </w:tabs>
        <w:jc w:val="both"/>
        <w:rPr>
          <w:rFonts w:ascii="Centaur" w:hAnsi="Centaur" w:cs="Centaur"/>
          <w:bCs/>
          <w:sz w:val="24"/>
          <w:szCs w:val="24"/>
        </w:rPr>
      </w:pPr>
      <w:r>
        <w:rPr>
          <w:rFonts w:cs="Centaur" w:ascii="Centaur" w:hAnsi="Centaur"/>
          <w:bCs/>
          <w:sz w:val="24"/>
          <w:szCs w:val="24"/>
          <w:u w:val="single"/>
        </w:rPr>
        <w:t>Beni e serviz</w:t>
      </w:r>
      <w:r>
        <w:rPr>
          <w:rFonts w:cs="Centaur" w:ascii="Centaur" w:hAnsi="Centaur"/>
          <w:bCs/>
          <w:sz w:val="24"/>
          <w:szCs w:val="24"/>
        </w:rPr>
        <w:t>i</w:t>
      </w:r>
    </w:p>
    <w:p>
      <w:pPr>
        <w:pStyle w:val="Normal"/>
        <w:numPr>
          <w:ilvl w:val="0"/>
          <w:numId w:val="14"/>
        </w:numPr>
        <w:tabs>
          <w:tab w:val="left" w:pos="5103" w:leader="none"/>
        </w:tabs>
        <w:jc w:val="both"/>
        <w:rPr>
          <w:rFonts w:ascii="Centaur" w:hAnsi="Centaur" w:cs="Centaur"/>
          <w:bCs/>
          <w:sz w:val="24"/>
          <w:szCs w:val="24"/>
        </w:rPr>
      </w:pPr>
      <w:r>
        <w:rPr>
          <w:rFonts w:cs="Centaur" w:ascii="Centaur" w:hAnsi="Centaur"/>
          <w:bCs/>
          <w:sz w:val="24"/>
          <w:szCs w:val="24"/>
        </w:rPr>
        <w:t>Contratti sottoscritti/lettere di trasporto/consegna</w:t>
      </w:r>
    </w:p>
    <w:p>
      <w:pPr>
        <w:pStyle w:val="Normal"/>
        <w:numPr>
          <w:ilvl w:val="0"/>
          <w:numId w:val="14"/>
        </w:numPr>
        <w:tabs>
          <w:tab w:val="left" w:pos="5103" w:leader="none"/>
        </w:tabs>
        <w:jc w:val="both"/>
        <w:rPr>
          <w:rFonts w:ascii="Centaur" w:hAnsi="Centaur" w:cs="Centaur"/>
          <w:bCs/>
          <w:sz w:val="24"/>
          <w:szCs w:val="24"/>
        </w:rPr>
      </w:pPr>
      <w:r>
        <w:rPr>
          <w:rFonts w:cs="Centaur" w:ascii="Centaur" w:hAnsi="Centaur"/>
          <w:bCs/>
          <w:sz w:val="24"/>
          <w:szCs w:val="24"/>
        </w:rPr>
        <w:t>Fatture</w:t>
      </w:r>
    </w:p>
    <w:p>
      <w:pPr>
        <w:pStyle w:val="Normal"/>
        <w:numPr>
          <w:ilvl w:val="0"/>
          <w:numId w:val="14"/>
        </w:numPr>
        <w:tabs>
          <w:tab w:val="left" w:pos="5103" w:leader="none"/>
        </w:tabs>
        <w:jc w:val="both"/>
        <w:rPr>
          <w:rFonts w:ascii="Centaur" w:hAnsi="Centaur" w:cs="Centaur"/>
          <w:bCs/>
          <w:sz w:val="24"/>
          <w:szCs w:val="24"/>
        </w:rPr>
      </w:pPr>
      <w:r>
        <w:rPr>
          <w:rFonts w:cs="Centaur" w:ascii="Centaur" w:hAnsi="Centaur"/>
          <w:bCs/>
          <w:sz w:val="24"/>
          <w:szCs w:val="24"/>
        </w:rPr>
        <w:t>Quietanza di pagamento del giustificativo di spesa corredato da copia dell’estratto del conto corrente</w:t>
      </w:r>
    </w:p>
    <w:p>
      <w:pPr>
        <w:pStyle w:val="Normal"/>
        <w:numPr>
          <w:ilvl w:val="0"/>
          <w:numId w:val="14"/>
        </w:numPr>
        <w:tabs>
          <w:tab w:val="left" w:pos="5103" w:leader="none"/>
        </w:tabs>
        <w:jc w:val="both"/>
        <w:rPr>
          <w:rFonts w:ascii="Centaur" w:hAnsi="Centaur" w:cs="Centaur"/>
          <w:bCs/>
          <w:sz w:val="24"/>
          <w:szCs w:val="24"/>
        </w:rPr>
      </w:pPr>
      <w:r>
        <w:rPr>
          <w:rFonts w:cs="Centaur" w:ascii="Centaur" w:hAnsi="Centaur"/>
          <w:bCs/>
          <w:sz w:val="24"/>
          <w:szCs w:val="24"/>
        </w:rPr>
        <w:t>Relazione/rendicontazione relativa alle attività svolte.</w:t>
      </w:r>
    </w:p>
    <w:p>
      <w:pPr>
        <w:pStyle w:val="Normal"/>
        <w:numPr>
          <w:ilvl w:val="0"/>
          <w:numId w:val="11"/>
        </w:numPr>
        <w:tabs>
          <w:tab w:val="left" w:pos="5103" w:leader="none"/>
        </w:tabs>
        <w:jc w:val="both"/>
        <w:rPr>
          <w:rFonts w:ascii="Centaur" w:hAnsi="Centaur" w:cs="Centaur"/>
          <w:bCs/>
          <w:sz w:val="24"/>
          <w:szCs w:val="24"/>
        </w:rPr>
      </w:pPr>
      <w:r>
        <w:rPr>
          <w:rFonts w:cs="Centaur" w:ascii="Centaur" w:hAnsi="Centaur"/>
          <w:bCs/>
          <w:sz w:val="24"/>
          <w:szCs w:val="24"/>
        </w:rPr>
        <w:t xml:space="preserve">Per quanto non espressamente riportato al comma precedente si fa riferimento alla normativa applicabile. </w:t>
      </w:r>
    </w:p>
    <w:p>
      <w:pPr>
        <w:pStyle w:val="Normal"/>
        <w:numPr>
          <w:ilvl w:val="0"/>
          <w:numId w:val="11"/>
        </w:numPr>
        <w:tabs>
          <w:tab w:val="left" w:pos="5103" w:leader="none"/>
        </w:tabs>
        <w:jc w:val="both"/>
        <w:rPr>
          <w:rFonts w:ascii="Centaur" w:hAnsi="Centaur" w:cs="Centaur"/>
          <w:bCs/>
          <w:sz w:val="24"/>
          <w:szCs w:val="24"/>
        </w:rPr>
      </w:pPr>
      <w:r>
        <w:rPr>
          <w:rFonts w:cs="Centaur" w:ascii="Centaur" w:hAnsi="Centaur"/>
          <w:bCs/>
          <w:sz w:val="24"/>
          <w:szCs w:val="24"/>
        </w:rPr>
        <w:t>Il riconoscimento delle spese sostenute è subordinato all’approvazione della relativa rendicontazione da parte del Comune di TRAPANI  in qualità di Ente Capofila per il Distretto Socio Sanitario n. 50 a seguito di verifica di coerenza e congruità.</w:t>
      </w:r>
    </w:p>
    <w:p>
      <w:pPr>
        <w:pStyle w:val="Normal"/>
        <w:tabs>
          <w:tab w:val="left" w:pos="5103" w:leader="none"/>
        </w:tabs>
        <w:jc w:val="both"/>
        <w:rPr>
          <w:rFonts w:ascii="Centaur" w:hAnsi="Centaur" w:cs="Centaur"/>
          <w:bCs/>
          <w:sz w:val="24"/>
          <w:szCs w:val="24"/>
        </w:rPr>
      </w:pPr>
      <w:r>
        <w:rPr>
          <w:rFonts w:cs="Centaur" w:ascii="Centaur" w:hAnsi="Centaur"/>
          <w:bCs/>
          <w:sz w:val="24"/>
          <w:szCs w:val="24"/>
        </w:rPr>
        <w:t>5. Qualora, in esito ad ulteriori controlli, si evidenziassero irregolarità o costi rendicontati riconosciuti inferiori alle somme liquidate, l’EAP si impegna a restituire quanto indebitamente percepito.</w:t>
      </w:r>
    </w:p>
    <w:p>
      <w:pPr>
        <w:pStyle w:val="Normal"/>
        <w:numPr>
          <w:ilvl w:val="0"/>
          <w:numId w:val="15"/>
        </w:numPr>
        <w:tabs>
          <w:tab w:val="left" w:pos="5103" w:leader="none"/>
        </w:tabs>
        <w:jc w:val="both"/>
        <w:rPr>
          <w:rFonts w:ascii="Centaur" w:hAnsi="Centaur" w:cs="Centaur"/>
          <w:bCs/>
          <w:sz w:val="24"/>
          <w:szCs w:val="24"/>
        </w:rPr>
      </w:pPr>
      <w:r>
        <w:rPr>
          <w:rFonts w:cs="Centaur" w:ascii="Centaur" w:hAnsi="Centaur"/>
          <w:bCs/>
          <w:sz w:val="24"/>
          <w:szCs w:val="24"/>
        </w:rPr>
        <w:t>La corresponsione dei singoli importi sarà inoltre subordinata all’accertamento della regolarità contributiva dell’EAP, attestata da certificazione DURC in corso di validità.</w:t>
      </w:r>
    </w:p>
    <w:p>
      <w:pPr>
        <w:pStyle w:val="Normal"/>
        <w:numPr>
          <w:ilvl w:val="0"/>
          <w:numId w:val="15"/>
        </w:numPr>
        <w:tabs>
          <w:tab w:val="left" w:pos="5103" w:leader="none"/>
        </w:tabs>
        <w:jc w:val="both"/>
        <w:rPr>
          <w:rFonts w:ascii="Centaur" w:hAnsi="Centaur" w:cs="Centaur"/>
          <w:bCs/>
          <w:sz w:val="24"/>
          <w:szCs w:val="24"/>
        </w:rPr>
      </w:pPr>
      <w:r>
        <w:rPr>
          <w:rFonts w:cs="Centaur" w:ascii="Centaur" w:hAnsi="Centaur"/>
          <w:bCs/>
          <w:sz w:val="24"/>
          <w:szCs w:val="24"/>
        </w:rPr>
        <w:t>Si precisa che il Codice Unico di Progetto (CUP) e il codice CIG vanno obbligatoriamente riportati in tutti i documenti giustificativi di spesa e pagamento, nonché in tutti i documenti amministrativi e contabili, cartacei e informatici relativi al progetto.</w:t>
      </w:r>
    </w:p>
    <w:p>
      <w:pPr>
        <w:pStyle w:val="Normal"/>
        <w:numPr>
          <w:ilvl w:val="0"/>
          <w:numId w:val="15"/>
        </w:numPr>
        <w:tabs>
          <w:tab w:val="left" w:pos="5103" w:leader="none"/>
        </w:tabs>
        <w:jc w:val="both"/>
        <w:rPr>
          <w:rFonts w:ascii="Centaur" w:hAnsi="Centaur" w:cs="Centaur"/>
          <w:bCs/>
          <w:sz w:val="24"/>
          <w:szCs w:val="24"/>
        </w:rPr>
      </w:pPr>
      <w:r>
        <w:rPr>
          <w:rFonts w:cs="Centaur" w:ascii="Centaur" w:hAnsi="Centaur"/>
          <w:bCs/>
          <w:sz w:val="24"/>
          <w:szCs w:val="24"/>
        </w:rPr>
        <w:t>A conclusione delle attività, oggetto del partenariato, l’Ente Attuatore Partner presenterà – entro e non oltre 10 giorni – una relazione tecnica conclusiva, nella quale saranno declinate nel dettaglio le attività svolte.</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Articolo 8 - Spese ammissibili</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16"/>
        </w:numPr>
        <w:tabs>
          <w:tab w:val="left" w:pos="5103" w:leader="none"/>
        </w:tabs>
        <w:jc w:val="both"/>
        <w:rPr>
          <w:rFonts w:ascii="Centaur" w:hAnsi="Centaur" w:cs="Centaur"/>
          <w:bCs/>
          <w:sz w:val="24"/>
          <w:szCs w:val="24"/>
        </w:rPr>
      </w:pPr>
      <w:r>
        <w:rPr>
          <w:rFonts w:cs="Centaur" w:ascii="Centaur" w:hAnsi="Centaur"/>
          <w:bCs/>
          <w:sz w:val="24"/>
          <w:szCs w:val="24"/>
        </w:rPr>
        <w:t>Ai fini della presente Convenzione sono considerate ammissibili, purché finalizzate all’attuazione degli interventi, le spese sostenute in osservanza della normativa comunitaria, nazionale e regionale vigente, incluso il codice degli Enti del Terzo Settore e a quanto ritenuto attualmente ammissibile a valere sull’Avviso Ministeriale “DesTEENazione” .</w:t>
      </w:r>
    </w:p>
    <w:p>
      <w:pPr>
        <w:pStyle w:val="Normal"/>
        <w:numPr>
          <w:ilvl w:val="0"/>
          <w:numId w:val="16"/>
        </w:numPr>
        <w:tabs>
          <w:tab w:val="left" w:pos="5103" w:leader="none"/>
        </w:tabs>
        <w:jc w:val="both"/>
        <w:rPr>
          <w:rFonts w:ascii="Centaur" w:hAnsi="Centaur" w:cs="Centaur"/>
          <w:bCs/>
          <w:sz w:val="24"/>
          <w:szCs w:val="24"/>
        </w:rPr>
      </w:pPr>
      <w:r>
        <w:rPr>
          <w:rFonts w:cs="Centaur" w:ascii="Centaur" w:hAnsi="Centaur"/>
          <w:bCs/>
          <w:sz w:val="24"/>
          <w:szCs w:val="24"/>
        </w:rPr>
        <w:t>Le spese per essere ritenute ammissibili devono avere tutte le seguenti caratteristiche:</w:t>
      </w:r>
    </w:p>
    <w:p>
      <w:pPr>
        <w:pStyle w:val="Normal"/>
        <w:numPr>
          <w:ilvl w:val="1"/>
          <w:numId w:val="16"/>
        </w:numPr>
        <w:tabs>
          <w:tab w:val="left" w:pos="5103" w:leader="none"/>
        </w:tabs>
        <w:jc w:val="both"/>
        <w:rPr>
          <w:rFonts w:ascii="Centaur" w:hAnsi="Centaur" w:cs="Centaur"/>
          <w:bCs/>
          <w:sz w:val="24"/>
          <w:szCs w:val="24"/>
        </w:rPr>
      </w:pPr>
      <w:r>
        <w:rPr>
          <w:rFonts w:cs="Centaur" w:ascii="Centaur" w:hAnsi="Centaur"/>
          <w:bCs/>
          <w:sz w:val="24"/>
          <w:szCs w:val="24"/>
        </w:rPr>
        <w:t>essere state sostenute successivamente alla sottoscrizione della Convenzione che sarà stipulata nel caso di esito positivo della procedura di co-progettazione oggetto del presente Avviso pubblico;</w:t>
      </w:r>
    </w:p>
    <w:p>
      <w:pPr>
        <w:pStyle w:val="Normal"/>
        <w:numPr>
          <w:ilvl w:val="1"/>
          <w:numId w:val="16"/>
        </w:numPr>
        <w:tabs>
          <w:tab w:val="left" w:pos="5103" w:leader="none"/>
        </w:tabs>
        <w:jc w:val="both"/>
        <w:rPr>
          <w:rFonts w:ascii="Centaur" w:hAnsi="Centaur" w:cs="Centaur"/>
          <w:bCs/>
          <w:sz w:val="24"/>
          <w:szCs w:val="24"/>
        </w:rPr>
      </w:pPr>
      <w:r>
        <w:rPr>
          <w:rFonts w:cs="Centaur" w:ascii="Centaur" w:hAnsi="Centaur"/>
          <w:bCs/>
          <w:sz w:val="24"/>
          <w:szCs w:val="24"/>
        </w:rPr>
        <w:t>essere:</w:t>
      </w:r>
    </w:p>
    <w:p>
      <w:pPr>
        <w:pStyle w:val="Normal"/>
        <w:numPr>
          <w:ilvl w:val="2"/>
          <w:numId w:val="16"/>
        </w:numPr>
        <w:tabs>
          <w:tab w:val="left" w:pos="5103" w:leader="none"/>
        </w:tabs>
        <w:jc w:val="both"/>
        <w:rPr>
          <w:rFonts w:ascii="Centaur" w:hAnsi="Centaur" w:cs="Centaur"/>
          <w:bCs/>
          <w:sz w:val="24"/>
          <w:szCs w:val="24"/>
        </w:rPr>
      </w:pPr>
      <w:r>
        <w:rPr>
          <w:rFonts w:cs="Centaur" w:ascii="Centaur" w:hAnsi="Centaur"/>
          <w:bCs/>
          <w:sz w:val="24"/>
          <w:szCs w:val="24"/>
        </w:rPr>
        <w:t>coerenti con le finalità previste dall’investimento di riferimento e assunte in conformità alla normativa nazionale e comunitaria vigente, anche in materia fiscale e contabile;</w:t>
      </w:r>
    </w:p>
    <w:p>
      <w:pPr>
        <w:pStyle w:val="Normal"/>
        <w:numPr>
          <w:ilvl w:val="2"/>
          <w:numId w:val="16"/>
        </w:numPr>
        <w:tabs>
          <w:tab w:val="left" w:pos="5103" w:leader="none"/>
        </w:tabs>
        <w:jc w:val="both"/>
        <w:rPr>
          <w:rFonts w:ascii="Centaur" w:hAnsi="Centaur" w:cs="Centaur"/>
          <w:bCs/>
          <w:sz w:val="24"/>
          <w:szCs w:val="24"/>
        </w:rPr>
      </w:pPr>
      <w:r>
        <w:rPr>
          <w:rFonts w:cs="Centaur" w:ascii="Centaur" w:hAnsi="Centaur"/>
          <w:bCs/>
          <w:sz w:val="24"/>
          <w:szCs w:val="24"/>
        </w:rPr>
        <w:t>effettive e comprovabili ossia corrispondenti ai documenti attestanti la spesa ed ai relativi pagamenti;</w:t>
      </w:r>
    </w:p>
    <w:p>
      <w:pPr>
        <w:pStyle w:val="Normal"/>
        <w:numPr>
          <w:ilvl w:val="2"/>
          <w:numId w:val="16"/>
        </w:numPr>
        <w:tabs>
          <w:tab w:val="left" w:pos="5103" w:leader="none"/>
        </w:tabs>
        <w:jc w:val="both"/>
        <w:rPr>
          <w:rFonts w:ascii="Centaur" w:hAnsi="Centaur" w:cs="Centaur"/>
          <w:bCs/>
          <w:sz w:val="24"/>
          <w:szCs w:val="24"/>
        </w:rPr>
      </w:pPr>
      <w:r>
        <w:rPr>
          <w:rFonts w:cs="Centaur" w:ascii="Centaur" w:hAnsi="Centaur"/>
          <w:bCs/>
          <w:sz w:val="24"/>
          <w:szCs w:val="24"/>
        </w:rPr>
        <w:t>pertinenti ed imputabili con certezza all’intervento finanziato.</w:t>
      </w:r>
    </w:p>
    <w:p>
      <w:pPr>
        <w:pStyle w:val="Normal"/>
        <w:numPr>
          <w:ilvl w:val="0"/>
          <w:numId w:val="16"/>
        </w:numPr>
        <w:tabs>
          <w:tab w:val="left" w:pos="5103" w:leader="none"/>
        </w:tabs>
        <w:jc w:val="both"/>
        <w:rPr>
          <w:rFonts w:ascii="Centaur" w:hAnsi="Centaur" w:cs="Centaur"/>
          <w:bCs/>
          <w:sz w:val="24"/>
          <w:szCs w:val="24"/>
        </w:rPr>
      </w:pPr>
      <w:r>
        <w:rPr>
          <w:rFonts w:cs="Centaur" w:ascii="Centaur" w:hAnsi="Centaur"/>
          <w:bCs/>
          <w:sz w:val="24"/>
          <w:szCs w:val="24"/>
        </w:rPr>
        <w:t>È possibile stabilire una sinergia tra diverse forme di sostegno pubblico di un intervento, che vengono in tal modo “cumulate” a copertura di diverse quote parti di un progetto/investimento a patto che ciò non figuri la fattispecie di un doppio finanziamento.</w:t>
      </w:r>
    </w:p>
    <w:p>
      <w:pPr>
        <w:pStyle w:val="Normal"/>
        <w:numPr>
          <w:ilvl w:val="0"/>
          <w:numId w:val="16"/>
        </w:numPr>
        <w:tabs>
          <w:tab w:val="left" w:pos="5103" w:leader="none"/>
        </w:tabs>
        <w:jc w:val="both"/>
        <w:rPr>
          <w:rFonts w:ascii="Centaur" w:hAnsi="Centaur" w:cs="Centaur"/>
          <w:bCs/>
          <w:sz w:val="24"/>
          <w:szCs w:val="24"/>
        </w:rPr>
      </w:pPr>
      <w:r>
        <w:rPr>
          <w:rFonts w:cs="Centaur" w:ascii="Centaur" w:hAnsi="Centaur"/>
          <w:bCs/>
          <w:sz w:val="24"/>
          <w:szCs w:val="24"/>
        </w:rPr>
        <w:t>Non sono ammissibili:</w:t>
      </w:r>
    </w:p>
    <w:p>
      <w:pPr>
        <w:pStyle w:val="Normal"/>
        <w:numPr>
          <w:ilvl w:val="0"/>
          <w:numId w:val="17"/>
        </w:numPr>
        <w:tabs>
          <w:tab w:val="left" w:pos="5103" w:leader="none"/>
        </w:tabs>
        <w:jc w:val="both"/>
        <w:rPr>
          <w:rFonts w:ascii="Centaur" w:hAnsi="Centaur" w:cs="Centaur"/>
          <w:bCs/>
          <w:sz w:val="24"/>
          <w:szCs w:val="24"/>
        </w:rPr>
      </w:pPr>
      <w:r>
        <w:rPr>
          <w:rFonts w:cs="Centaur" w:ascii="Centaur" w:hAnsi="Centaur"/>
          <w:bCs/>
          <w:sz w:val="24"/>
          <w:szCs w:val="24"/>
        </w:rPr>
        <w:t>le spese che infrangono il divieto del doppio finanziamento, ossia il medesimo costo di un intervento non può essere rimborsato due volte a valere su fonti di finanziamento pubbliche anche di diversa natura (Nota di chiarimento del MEF sulla Circolare del 14 ottobre 2021, n. 21);</w:t>
      </w:r>
    </w:p>
    <w:p>
      <w:pPr>
        <w:pStyle w:val="Normal"/>
        <w:numPr>
          <w:ilvl w:val="0"/>
          <w:numId w:val="16"/>
        </w:numPr>
        <w:tabs>
          <w:tab w:val="left" w:pos="5103" w:leader="none"/>
        </w:tabs>
        <w:jc w:val="both"/>
        <w:rPr>
          <w:rFonts w:ascii="Centaur" w:hAnsi="Centaur" w:cs="Centaur"/>
          <w:bCs/>
          <w:sz w:val="24"/>
          <w:szCs w:val="24"/>
        </w:rPr>
      </w:pPr>
      <w:r>
        <w:rPr>
          <w:rFonts w:cs="Centaur" w:ascii="Centaur" w:hAnsi="Centaur"/>
          <w:bCs/>
          <w:sz w:val="24"/>
          <w:szCs w:val="24"/>
        </w:rPr>
        <w:t xml:space="preserve">restano escluse dall’ammissibilità le spese per ammende e penali, nonché per eventuali contenziosi, varianti, modifiche e variazioni non legittime, non conformi alle previsioni normative.  </w:t>
      </w:r>
    </w:p>
    <w:p>
      <w:pPr>
        <w:pStyle w:val="Normal"/>
        <w:numPr>
          <w:ilvl w:val="0"/>
          <w:numId w:val="16"/>
        </w:numPr>
        <w:tabs>
          <w:tab w:val="left" w:pos="5103" w:leader="none"/>
        </w:tabs>
        <w:jc w:val="both"/>
        <w:rPr>
          <w:rFonts w:ascii="Centaur" w:hAnsi="Centaur" w:cs="Centaur"/>
          <w:bCs/>
          <w:sz w:val="24"/>
          <w:szCs w:val="24"/>
        </w:rPr>
      </w:pPr>
      <w:r>
        <w:rPr>
          <w:rFonts w:cs="Centaur" w:ascii="Centaur" w:hAnsi="Centaur"/>
          <w:bCs/>
          <w:sz w:val="24"/>
          <w:szCs w:val="24"/>
        </w:rPr>
        <w:t>Qualora, in esito ad ulteriori controlli, si evidenziassero irregolarità o spese rendicontate ammissibili, riconosciuti inferiori alle somme liquidate, l’EAP si impegna a restituire quanto indebitamente percepito. Tali somme potranno essere trattenute dalle risorse da trasferire all’EAP o dalla garanzia di cui al successivo art. 13.</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Articolo 9 – Tracciabilità dei flussi finanziari</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18"/>
        </w:numPr>
        <w:tabs>
          <w:tab w:val="left" w:pos="5103" w:leader="none"/>
        </w:tabs>
        <w:jc w:val="both"/>
        <w:rPr>
          <w:rFonts w:ascii="Centaur" w:hAnsi="Centaur" w:cs="Centaur"/>
          <w:bCs/>
          <w:sz w:val="24"/>
          <w:szCs w:val="24"/>
        </w:rPr>
      </w:pPr>
      <w:r>
        <w:rPr>
          <w:rFonts w:cs="Centaur" w:ascii="Centaur" w:hAnsi="Centaur"/>
          <w:bCs/>
          <w:sz w:val="24"/>
          <w:szCs w:val="24"/>
        </w:rPr>
        <w:t>Ai sensi e per gli effetti dell’art. 3, co. 8, della legge 13 agosto 2010 n. 136, l’EAP, con la sottoscrizione della presente Convenzione, si impegna a rispettare puntualmente quanto previsto dalla normativa vigente in tema di obblighi di tracciabilità dei flussi finanziari e per gli effetti comunica gli estremi identificativi del conto corrente, bancario o postale, appositamente dedicato alle commesse pubbliche, anche in via non esclusiva, nonché le generalità ed il codice fiscale delle persone delegate ad operare sul predetto conto corrente.</w:t>
      </w:r>
    </w:p>
    <w:p>
      <w:pPr>
        <w:pStyle w:val="Normal"/>
        <w:numPr>
          <w:ilvl w:val="0"/>
          <w:numId w:val="18"/>
        </w:numPr>
        <w:tabs>
          <w:tab w:val="left" w:pos="5103" w:leader="none"/>
        </w:tabs>
        <w:jc w:val="both"/>
        <w:rPr>
          <w:rFonts w:ascii="Centaur" w:hAnsi="Centaur" w:cs="Centaur"/>
          <w:bCs/>
          <w:sz w:val="24"/>
          <w:szCs w:val="24"/>
        </w:rPr>
      </w:pPr>
      <w:r>
        <w:rPr>
          <w:rFonts w:cs="Centaur" w:ascii="Centaur" w:hAnsi="Centaur"/>
          <w:bCs/>
          <w:sz w:val="24"/>
          <w:szCs w:val="24"/>
        </w:rPr>
        <w:t>Ferme restando le ulteriori ipotesi di risoluzione previste dal presente contratto, ai sensi di quanto disposto dall’art. 3, co. 9 bis della l. 136/2010, il mancato utilizzo, nella transazione finanziaria, del bonifico bancario o postale, ovvero di altri strumenti idonei a consentire la piena tracciabilità delle operazioni di pagamento, costituisce causa di risoluzione della presente Convenzione.</w:t>
      </w:r>
    </w:p>
    <w:p>
      <w:pPr>
        <w:pStyle w:val="Normal"/>
        <w:numPr>
          <w:ilvl w:val="0"/>
          <w:numId w:val="18"/>
        </w:numPr>
        <w:tabs>
          <w:tab w:val="left" w:pos="5103" w:leader="none"/>
        </w:tabs>
        <w:jc w:val="both"/>
        <w:rPr>
          <w:rFonts w:ascii="Centaur" w:hAnsi="Centaur" w:cs="Centaur"/>
          <w:bCs/>
          <w:sz w:val="24"/>
          <w:szCs w:val="24"/>
        </w:rPr>
      </w:pPr>
      <w:r>
        <w:rPr>
          <w:rFonts w:cs="Centaur" w:ascii="Centaur" w:hAnsi="Centaur"/>
          <w:bCs/>
          <w:sz w:val="24"/>
          <w:szCs w:val="24"/>
        </w:rPr>
        <w:t xml:space="preserve">L’EAP si obbliga, ai sensi dell’art. 3, co. 8, secondo periodo della L. 136/2010, ad inserire nei contratti sottoscritti con i subcontraenti, a pena di nullità assoluta, un’apposita clausola con la quale ciascuno di essi assume gli obblighi di tracciabilità dei flussi finanziari di cui alla citata legge, con la specifica indicazione che il mancato utilizzo, nella transazione finanziaria, del bonifico bancario o postale, ovvero di altri strumenti idonei a consentire la piena tracciabilità delle operazioni di pagamento costituisce causa di risoluzione della Convenzione. Resta inteso che l’AP, si riserva di procedere a verifiche a campione sulla veridicità di quanto a tal riguardo attestato, richiedendo all’uopo la produzione dei subcontratti stipulati e di adottare, all’esito dell’espletata verifica, ogni più opportuna determinazione, ai sensi di legge e di contratto.  </w:t>
      </w:r>
    </w:p>
    <w:p>
      <w:pPr>
        <w:pStyle w:val="Normal"/>
        <w:numPr>
          <w:ilvl w:val="0"/>
          <w:numId w:val="18"/>
        </w:numPr>
        <w:tabs>
          <w:tab w:val="left" w:pos="5103" w:leader="none"/>
        </w:tabs>
        <w:jc w:val="both"/>
        <w:rPr>
          <w:rFonts w:ascii="Centaur" w:hAnsi="Centaur" w:cs="Centaur"/>
          <w:bCs/>
          <w:sz w:val="24"/>
          <w:szCs w:val="24"/>
        </w:rPr>
      </w:pPr>
      <w:r>
        <w:rPr>
          <w:rFonts w:cs="Centaur" w:ascii="Centaur" w:hAnsi="Centaur"/>
          <w:bCs/>
          <w:sz w:val="24"/>
          <w:szCs w:val="24"/>
        </w:rPr>
        <w:t>L’Ente Attuatore Partner o i soggetti da questo incaricati a qualsiasi titolo, che hanno notizia dell’inadempimento della propria controparte agli obblighi di tracciabilità finanziaria di cui alla norma sopra richiamata, è tenuto a darne immediata comunicazione all’Autorità e alla Prefettura – Ufficio Territoriale del Governo.</w:t>
      </w:r>
    </w:p>
    <w:p>
      <w:pPr>
        <w:pStyle w:val="Normal"/>
        <w:numPr>
          <w:ilvl w:val="0"/>
          <w:numId w:val="18"/>
        </w:numPr>
        <w:tabs>
          <w:tab w:val="left" w:pos="5103" w:leader="none"/>
        </w:tabs>
        <w:jc w:val="both"/>
        <w:rPr>
          <w:rFonts w:ascii="Centaur" w:hAnsi="Centaur" w:cs="Centaur"/>
          <w:bCs/>
          <w:sz w:val="24"/>
          <w:szCs w:val="24"/>
        </w:rPr>
      </w:pPr>
      <w:r>
        <w:rPr>
          <w:rFonts w:cs="Centaur" w:ascii="Centaur" w:hAnsi="Centaur"/>
          <w:bCs/>
          <w:sz w:val="24"/>
          <w:szCs w:val="24"/>
        </w:rPr>
        <w:t>In caso di variazione intervenuta in ordine agli estremi identificativi dei conti correnti dedicati o alle persone delegate ad operare sugli stessi, l’EAP è tenuto a darne comunicazione tempestiva e comunque entro e non oltre sette giorni. In difetto di tale comunicazione, l’EAP non potrà, tra l’altro, sollevare eccezioni in ordine ad eventuali ritardi dei pagamenti, né in ordine ai pagamenti già effettuati.</w:t>
      </w:r>
    </w:p>
    <w:p>
      <w:pPr>
        <w:pStyle w:val="Normal"/>
        <w:numPr>
          <w:ilvl w:val="0"/>
          <w:numId w:val="18"/>
        </w:numPr>
        <w:tabs>
          <w:tab w:val="left" w:pos="5103" w:leader="none"/>
        </w:tabs>
        <w:jc w:val="both"/>
        <w:rPr>
          <w:rFonts w:ascii="Centaur" w:hAnsi="Centaur" w:cs="Centaur"/>
          <w:bCs/>
          <w:sz w:val="24"/>
          <w:szCs w:val="24"/>
        </w:rPr>
      </w:pPr>
      <w:r>
        <w:rPr>
          <w:rFonts w:cs="Centaur" w:ascii="Centaur" w:hAnsi="Centaur"/>
          <w:bCs/>
          <w:sz w:val="24"/>
          <w:szCs w:val="24"/>
        </w:rPr>
        <w:t>In atti è presente la comunicazione dell’EAP in merito al conto corrente dedicato dell’EAP ai fini della presente Convenzione (Prot. N.</w:t>
      </w:r>
      <w:r>
        <w:rPr>
          <w:rFonts w:cs="Centaur" w:ascii="Centaur" w:hAnsi="Centaur"/>
          <w:bCs/>
          <w:sz w:val="24"/>
          <w:szCs w:val="24"/>
          <w:u w:val="single"/>
        </w:rPr>
        <w:t xml:space="preserve">     </w:t>
      </w:r>
      <w:r>
        <w:rPr>
          <w:rFonts w:cs="Centaur" w:ascii="Centaur" w:hAnsi="Centaur"/>
          <w:bCs/>
          <w:sz w:val="24"/>
          <w:szCs w:val="24"/>
        </w:rPr>
        <w:t>del</w:t>
        <w:tab/>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11 - Monitoraggio delle attività oggetto della convenzione e rendicontazione</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19"/>
        </w:numPr>
        <w:tabs>
          <w:tab w:val="left" w:pos="5103" w:leader="none"/>
        </w:tabs>
        <w:jc w:val="both"/>
        <w:rPr>
          <w:rFonts w:ascii="Centaur" w:hAnsi="Centaur" w:cs="Centaur"/>
          <w:bCs/>
          <w:sz w:val="24"/>
          <w:szCs w:val="24"/>
        </w:rPr>
      </w:pPr>
      <w:r>
        <w:rPr>
          <w:rFonts w:cs="Centaur" w:ascii="Centaur" w:hAnsi="Centaur"/>
          <w:bCs/>
          <w:sz w:val="24"/>
          <w:szCs w:val="24"/>
        </w:rPr>
        <w:t>Il Comune di ………………… assicura il monitoraggio sulle attività svolte dall’EAP, attraverso la verifica periodica del perseguimento degli obiettivi in rapporto alle attività, oggetto della Convenzione, riservandosi di apportare tutte le variazioni che dovesse ritenere utili ai fini della buona riuscita delle azioni ivi contemplate, senza che ciò comporti ulteriori oneri a carico dell’EAP, il quale è tenuto ad apportare le variazioni richieste.</w:t>
      </w:r>
    </w:p>
    <w:p>
      <w:pPr>
        <w:pStyle w:val="Normal"/>
        <w:numPr>
          <w:ilvl w:val="0"/>
          <w:numId w:val="19"/>
        </w:numPr>
        <w:tabs>
          <w:tab w:val="left" w:pos="5103" w:leader="none"/>
        </w:tabs>
        <w:jc w:val="both"/>
        <w:rPr>
          <w:rFonts w:ascii="Centaur" w:hAnsi="Centaur" w:cs="Centaur"/>
          <w:bCs/>
          <w:sz w:val="24"/>
          <w:szCs w:val="24"/>
        </w:rPr>
      </w:pPr>
      <w:r>
        <w:rPr>
          <w:rFonts w:cs="Centaur" w:ascii="Centaur" w:hAnsi="Centaur"/>
          <w:bCs/>
          <w:sz w:val="24"/>
          <w:szCs w:val="24"/>
        </w:rPr>
        <w:t>La sede per la revisione, l’integrazione e la diversificazione delle tipologie di intervento, utili ai fini della buona riuscita delle azioni ivi contemplate, è definita nel Tavolo di co-progettazione, da considerarsi permanente, in quanto utile a definire quanto necessario e/o utile per la modifica del progetto, anche con riferimento alla durata di cui all’art. 2.</w:t>
      </w:r>
    </w:p>
    <w:p>
      <w:pPr>
        <w:pStyle w:val="Normal"/>
        <w:numPr>
          <w:ilvl w:val="0"/>
          <w:numId w:val="19"/>
        </w:numPr>
        <w:tabs>
          <w:tab w:val="left" w:pos="5103" w:leader="none"/>
        </w:tabs>
        <w:jc w:val="both"/>
        <w:rPr>
          <w:rFonts w:ascii="Centaur" w:hAnsi="Centaur" w:cs="Centaur"/>
          <w:bCs/>
          <w:sz w:val="24"/>
          <w:szCs w:val="24"/>
        </w:rPr>
      </w:pPr>
      <w:r>
        <w:rPr>
          <w:rFonts w:cs="Centaur" w:ascii="Centaur" w:hAnsi="Centaur"/>
          <w:bCs/>
          <w:sz w:val="24"/>
          <w:szCs w:val="24"/>
        </w:rPr>
        <w:t>Il Comune di …………….. è tenuto al presidio, al controllo e alla verifica della rendicontazione puntuale sia sul piano dei contenuti tecnici sia sul piano amministrativo e gestionale degli interventi e delle attività svolte dall’Ente Attuatore Partner.</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12 – Assicurazioni</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1"/>
          <w:numId w:val="19"/>
        </w:numPr>
        <w:tabs>
          <w:tab w:val="left" w:pos="5103" w:leader="none"/>
        </w:tabs>
        <w:jc w:val="both"/>
        <w:rPr>
          <w:rFonts w:ascii="Centaur" w:hAnsi="Centaur" w:cs="Centaur"/>
          <w:bCs/>
          <w:sz w:val="24"/>
          <w:szCs w:val="24"/>
        </w:rPr>
      </w:pPr>
      <w:r>
        <w:rPr>
          <w:rFonts w:cs="Centaur" w:ascii="Centaur" w:hAnsi="Centaur"/>
          <w:bCs/>
          <w:sz w:val="24"/>
          <w:szCs w:val="24"/>
        </w:rPr>
        <w:t>In ogni caso, a tutela degli interessi pubblici del Distretto Socio Sanitario ….. di ………….., l’Ente Attuatore Partner (EAP) provvede alla copertura assicurativa di legge delle risorse umane impiegate a qualunque titolo nelle attività di cui alla presente Convenzione.</w:t>
      </w:r>
    </w:p>
    <w:p>
      <w:pPr>
        <w:pStyle w:val="Normal"/>
        <w:numPr>
          <w:ilvl w:val="1"/>
          <w:numId w:val="19"/>
        </w:numPr>
        <w:tabs>
          <w:tab w:val="left" w:pos="5103" w:leader="none"/>
        </w:tabs>
        <w:jc w:val="both"/>
        <w:rPr>
          <w:rFonts w:ascii="Centaur" w:hAnsi="Centaur" w:cs="Centaur"/>
          <w:bCs/>
          <w:sz w:val="24"/>
          <w:szCs w:val="24"/>
        </w:rPr>
      </w:pPr>
      <w:r>
        <w:rPr>
          <w:rFonts w:cs="Centaur" w:ascii="Centaur" w:hAnsi="Centaur"/>
          <w:bCs/>
          <w:sz w:val="24"/>
          <w:szCs w:val="24"/>
        </w:rPr>
        <w:t>l’Ente Attuatore Partner (EAP) è responsabile civilmente e penalmente di tutti i danni di qualsiasi natura che possano derivare a persone o cose legate allo svolgimento delle attività, con la conseguenza che il Comune di …………………………. è sollevato da qualunque pretesa, azione, domanda od altro che possa loro derivare, direttamente od indirettamente, dalle attività della presente Convenzione.</w:t>
      </w:r>
    </w:p>
    <w:p>
      <w:pPr>
        <w:pStyle w:val="Normal"/>
        <w:numPr>
          <w:ilvl w:val="1"/>
          <w:numId w:val="19"/>
        </w:numPr>
        <w:tabs>
          <w:tab w:val="left" w:pos="5103" w:leader="none"/>
        </w:tabs>
        <w:jc w:val="both"/>
        <w:rPr>
          <w:rFonts w:ascii="Centaur" w:hAnsi="Centaur" w:cs="Centaur"/>
          <w:bCs/>
          <w:sz w:val="24"/>
          <w:szCs w:val="24"/>
        </w:rPr>
      </w:pPr>
      <w:r>
        <w:rPr>
          <w:rFonts w:cs="Centaur" w:ascii="Centaur" w:hAnsi="Centaur"/>
          <w:bCs/>
          <w:sz w:val="24"/>
          <w:szCs w:val="24"/>
        </w:rPr>
        <w:t>A garanzia dei rischi connessi alle attività, l’Ente Attuatore Partner (EAP)«</w:t>
        <w:tab/>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t>ha prodotto la seguente assicurazione a copertura della Responsabilità Civile verso Terzi ed Operai prestatori di lavoro (RCT-RCO) n………… del………………….rilasciata da……………………… avente i seguenti massimali _</w:t>
        <w:tab/>
        <w:t>, allegata alla presente Convenzione [Allegato “..”], valida per tutto il periodo della convenzione: - n…………  del………………</w:t>
      </w:r>
    </w:p>
    <w:p>
      <w:pPr>
        <w:pStyle w:val="Normal"/>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Cs/>
          <w:sz w:val="24"/>
          <w:szCs w:val="24"/>
        </w:rPr>
        <w:t>.rilasciata da………………………per responsabilità civile per danni a cose e persone, causati o subiti dai propri dipendenti, soci, prestatori o altri addetti che partecipano alle attività, ed, in ogni caso, verso terzi.</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 </w:t>
      </w:r>
      <w:r>
        <w:rPr>
          <w:rFonts w:cs="Centaur" w:ascii="Centaur" w:hAnsi="Centaur"/>
          <w:bCs/>
          <w:sz w:val="24"/>
          <w:szCs w:val="24"/>
        </w:rPr>
        <w:t>Il Comune di …………………., Capofila del Distretto di …………………., è considerato “terzo” a tutti gli effetti.</w:t>
      </w:r>
    </w:p>
    <w:p>
      <w:pPr>
        <w:pStyle w:val="Normal"/>
        <w:numPr>
          <w:ilvl w:val="1"/>
          <w:numId w:val="19"/>
        </w:numPr>
        <w:tabs>
          <w:tab w:val="left" w:pos="5103" w:leader="none"/>
        </w:tabs>
        <w:jc w:val="both"/>
        <w:rPr>
          <w:rFonts w:ascii="Centaur" w:hAnsi="Centaur" w:cs="Centaur"/>
          <w:bCs/>
          <w:sz w:val="24"/>
          <w:szCs w:val="24"/>
        </w:rPr>
      </w:pPr>
      <w:r>
        <w:rPr>
          <w:rFonts w:cs="Centaur" w:ascii="Centaur" w:hAnsi="Centaur"/>
          <w:bCs/>
          <w:sz w:val="24"/>
          <w:szCs w:val="24"/>
        </w:rPr>
        <w:t>Le coperture assicurative devono essere valide per tutto il periodo di esecuzione delle attività in oggetto.</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13 - Garanzia definitiva</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20"/>
        </w:numPr>
        <w:tabs>
          <w:tab w:val="left" w:pos="5103" w:leader="none"/>
        </w:tabs>
        <w:jc w:val="both"/>
        <w:rPr>
          <w:rFonts w:ascii="Centaur" w:hAnsi="Centaur" w:cs="Centaur"/>
          <w:bCs/>
          <w:sz w:val="24"/>
          <w:szCs w:val="24"/>
        </w:rPr>
      </w:pPr>
      <w:r>
        <w:rPr>
          <w:rFonts w:cs="Centaur" w:ascii="Centaur" w:hAnsi="Centaur"/>
          <w:bCs/>
          <w:sz w:val="24"/>
          <w:szCs w:val="24"/>
        </w:rPr>
        <w:t>A garanzia dell’esatto e tempestivo adempimento degli obblighi derivanti dalla presente Convenzione, l’EAP ha depositato idonea garanzia fideiussoria definitiva. La stessa è resa, in favore dell’Ente Comune di TRAPANI Capofila del DSS n. 50 come segue: polizza xxxxxx n. xxxxxx rilasciata da xxxxx di Euro xxxxx emessa in data xxxxxx. La garanzia di cui sopra è costituita nelle forme previste dall’art. 103 del Codice dei contratti richiamato in analogia e per quanto applicabile.</w:t>
      </w:r>
    </w:p>
    <w:p>
      <w:pPr>
        <w:pStyle w:val="Normal"/>
        <w:numPr>
          <w:ilvl w:val="0"/>
          <w:numId w:val="20"/>
        </w:numPr>
        <w:tabs>
          <w:tab w:val="left" w:pos="5103" w:leader="none"/>
        </w:tabs>
        <w:jc w:val="both"/>
        <w:rPr>
          <w:rFonts w:ascii="Centaur" w:hAnsi="Centaur" w:cs="Centaur"/>
          <w:bCs/>
          <w:sz w:val="24"/>
          <w:szCs w:val="24"/>
        </w:rPr>
      </w:pPr>
      <w:r>
        <w:rPr>
          <w:rFonts w:cs="Centaur" w:ascii="Centaur" w:hAnsi="Centaur"/>
          <w:bCs/>
          <w:sz w:val="24"/>
          <w:szCs w:val="24"/>
        </w:rPr>
        <w:t>La garanzia ha validità temporale pari alla durata di realizzazione del progetto e dovrà, comunque, avere efficacia fino ad apposita comunicazione liberatoria (costituita anche dalla semplice restituzione del documento di garanzia) da parte dell’Amministrazione Procedente, con la quale verrà attestata l’assenza oppure la definizione di ogni eventuale eccezione e controversia, sorte in dipendenza dell’esecuzione del progetto.</w:t>
      </w:r>
    </w:p>
    <w:p>
      <w:pPr>
        <w:pStyle w:val="Normal"/>
        <w:numPr>
          <w:ilvl w:val="0"/>
          <w:numId w:val="20"/>
        </w:numPr>
        <w:tabs>
          <w:tab w:val="left" w:pos="5103" w:leader="none"/>
        </w:tabs>
        <w:jc w:val="both"/>
        <w:rPr>
          <w:rFonts w:ascii="Centaur" w:hAnsi="Centaur" w:cs="Centaur"/>
          <w:bCs/>
          <w:sz w:val="24"/>
          <w:szCs w:val="24"/>
        </w:rPr>
      </w:pPr>
      <w:r>
        <w:rPr>
          <w:rFonts w:cs="Centaur" w:ascii="Centaur" w:hAnsi="Centaur"/>
          <w:bCs/>
          <w:sz w:val="24"/>
          <w:szCs w:val="24"/>
        </w:rPr>
        <w:t>La garanzia dovrà essere reintegrata entro il termine di dieci giorni lavorativi dal ricevimento della richiesta dell’AP qualora, in fase di esecuzione del progetto, essa sia stata escussa parzialmente o totalmente a seguito di ritardi o altre inadempienze da parte dell’EAP. In caso di inadempimento a tale obbligo, l’AP ha facoltà di dichiarare risolto di diritto la convenzione.</w:t>
      </w:r>
    </w:p>
    <w:p>
      <w:pPr>
        <w:pStyle w:val="Normal"/>
        <w:numPr>
          <w:ilvl w:val="0"/>
          <w:numId w:val="20"/>
        </w:numPr>
        <w:tabs>
          <w:tab w:val="left" w:pos="5103" w:leader="none"/>
        </w:tabs>
        <w:jc w:val="both"/>
        <w:rPr>
          <w:rFonts w:ascii="Centaur" w:hAnsi="Centaur" w:cs="Centaur"/>
          <w:bCs/>
          <w:sz w:val="24"/>
          <w:szCs w:val="24"/>
        </w:rPr>
      </w:pPr>
      <w:r>
        <w:rPr>
          <w:rFonts w:cs="Centaur" w:ascii="Centaur" w:hAnsi="Centaur"/>
          <w:bCs/>
          <w:sz w:val="24"/>
          <w:szCs w:val="24"/>
        </w:rPr>
        <w:t>L’Ente ha diritto di valersi della garanzia fideiussoria per l’applicazione delle penali di cui all’art.14 seguente.</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14 – Contestazioni</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21"/>
        </w:numPr>
        <w:tabs>
          <w:tab w:val="left" w:pos="5103" w:leader="none"/>
        </w:tabs>
        <w:jc w:val="both"/>
        <w:rPr>
          <w:rFonts w:ascii="Centaur" w:hAnsi="Centaur" w:cs="Centaur"/>
          <w:bCs/>
          <w:sz w:val="24"/>
          <w:szCs w:val="24"/>
        </w:rPr>
      </w:pPr>
      <w:r>
        <w:rPr>
          <w:rFonts w:cs="Centaur" w:ascii="Centaur" w:hAnsi="Centaur"/>
          <w:bCs/>
          <w:sz w:val="24"/>
          <w:szCs w:val="24"/>
        </w:rPr>
        <w:t>Ove il Distretto di TRAPANI riscontrasse inadempienze degli obblighi assunti ovvero violazioni delle disposizioni contenute nel presente documento, provvederà alla formale contestazione per iscritto (diffida) con descrizione analitica e motivata delle contestazioni e con invito a conformarsi immediatamente alle prescrizioni violate, mediante pec indirizzata al Legale Rappresentante dell’EAP. In ogni caso, le comunicazioni e le eventuali contestazioni di inadempienza relative al servizio fatte dall’AP al referente dell’EAP si intendono come presentate direttamente allo stesso.</w:t>
      </w:r>
    </w:p>
    <w:p>
      <w:pPr>
        <w:pStyle w:val="Normal"/>
        <w:numPr>
          <w:ilvl w:val="0"/>
          <w:numId w:val="21"/>
        </w:numPr>
        <w:tabs>
          <w:tab w:val="left" w:pos="5103" w:leader="none"/>
        </w:tabs>
        <w:jc w:val="both"/>
        <w:rPr>
          <w:rFonts w:ascii="Centaur" w:hAnsi="Centaur" w:cs="Centaur"/>
          <w:bCs/>
          <w:sz w:val="24"/>
          <w:szCs w:val="24"/>
        </w:rPr>
      </w:pPr>
      <w:r>
        <w:rPr>
          <w:rFonts w:cs="Centaur" w:ascii="Centaur" w:hAnsi="Centaur"/>
          <w:bCs/>
          <w:sz w:val="24"/>
          <w:szCs w:val="24"/>
        </w:rPr>
        <w:t>Questo potrà far pervenire le proprie controdeduzioni entro e non oltre 10 (dieci) giorni dalla data di ricevimento della contestazione o comunque entro il termine stabilito nella diffida.</w:t>
      </w:r>
    </w:p>
    <w:p>
      <w:pPr>
        <w:pStyle w:val="Normal"/>
        <w:numPr>
          <w:ilvl w:val="0"/>
          <w:numId w:val="21"/>
        </w:numPr>
        <w:tabs>
          <w:tab w:val="left" w:pos="5103" w:leader="none"/>
        </w:tabs>
        <w:jc w:val="both"/>
        <w:rPr>
          <w:rFonts w:ascii="Centaur" w:hAnsi="Centaur" w:cs="Centaur"/>
          <w:bCs/>
          <w:sz w:val="24"/>
          <w:szCs w:val="24"/>
        </w:rPr>
      </w:pPr>
      <w:r>
        <w:rPr>
          <w:rFonts w:cs="Centaur" w:ascii="Centaur" w:hAnsi="Centaur"/>
          <w:bCs/>
          <w:sz w:val="24"/>
          <w:szCs w:val="24"/>
        </w:rPr>
        <w:t>Le comunicazioni fra le Parti avverranno mediante posta elettronica certificata PEC agli indirizzi indicati, nell’Avviso pubblicato, per quanto riguarda il Comune di …………………….., e nella domanda di partecipazione, da parte dell’EAP.</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15 – Penalità</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22"/>
        </w:numPr>
        <w:tabs>
          <w:tab w:val="left" w:pos="5103" w:leader="none"/>
        </w:tabs>
        <w:jc w:val="both"/>
        <w:rPr>
          <w:rFonts w:ascii="Centaur" w:hAnsi="Centaur" w:cs="Centaur"/>
          <w:bCs/>
          <w:sz w:val="24"/>
          <w:szCs w:val="24"/>
        </w:rPr>
      </w:pPr>
      <w:r>
        <w:rPr>
          <w:rFonts w:cs="Centaur" w:ascii="Centaur" w:hAnsi="Centaur"/>
          <w:bCs/>
          <w:sz w:val="24"/>
          <w:szCs w:val="24"/>
        </w:rPr>
        <w:t>Ove ad insindacabile giudizio del Distretto di ……………………….. le controdeduzioni di cui all’art. precedente risultassero irrilevanti o non pervenissero entro 10 (dieci) giorni lavorativi dalla data di ricevimento della contestazione o comunque entro l’eventuale termine stabilito nella diffida, nei confronti dell’aggiudicatario, saranno applicate le seguenti penalità:</w:t>
      </w:r>
    </w:p>
    <w:p>
      <w:pPr>
        <w:pStyle w:val="Normal"/>
        <w:numPr>
          <w:ilvl w:val="0"/>
          <w:numId w:val="23"/>
        </w:numPr>
        <w:tabs>
          <w:tab w:val="left" w:pos="5103" w:leader="none"/>
        </w:tabs>
        <w:jc w:val="both"/>
        <w:rPr>
          <w:rFonts w:ascii="Centaur" w:hAnsi="Centaur" w:cs="Centaur"/>
          <w:bCs/>
          <w:sz w:val="24"/>
          <w:szCs w:val="24"/>
        </w:rPr>
      </w:pPr>
      <w:r>
        <w:rPr>
          <w:rFonts w:cs="Centaur" w:ascii="Centaur" w:hAnsi="Centaur"/>
          <w:bCs/>
          <w:sz w:val="24"/>
          <w:szCs w:val="24"/>
        </w:rPr>
        <w:t>…………………………………………………………………………………………</w:t>
      </w:r>
    </w:p>
    <w:p>
      <w:pPr>
        <w:pStyle w:val="Normal"/>
        <w:numPr>
          <w:ilvl w:val="0"/>
          <w:numId w:val="22"/>
        </w:numPr>
        <w:tabs>
          <w:tab w:val="left" w:pos="5103" w:leader="none"/>
        </w:tabs>
        <w:jc w:val="both"/>
        <w:rPr>
          <w:rFonts w:ascii="Centaur" w:hAnsi="Centaur" w:cs="Centaur"/>
          <w:bCs/>
          <w:sz w:val="24"/>
          <w:szCs w:val="24"/>
        </w:rPr>
      </w:pPr>
      <w:r>
        <w:rPr>
          <w:rFonts w:cs="Centaur" w:ascii="Centaur" w:hAnsi="Centaur"/>
          <w:bCs/>
          <w:sz w:val="24"/>
          <w:szCs w:val="24"/>
        </w:rPr>
        <w:t>Nel caso in cui nell’arco di 30 (trenta) giorni la stessa tipologia di inadempienza dovesse verificarsi più di una volta, a partire dalla seconda sanzione gli importi previsti nella precedente tabella saranno raddoppiati. Le penalità sono addebitate sui crediti dell’EAP dipendenti dal contratto o sulla cauzione, ove i crediti manchino o siano insufficienti. In tale ultimo caso l’importo della cauzione dovrà essere immediatamente reintegrato come disposto dall’art. 13 comma 3 della presente Convenzione.</w:t>
      </w:r>
    </w:p>
    <w:p>
      <w:pPr>
        <w:pStyle w:val="Normal"/>
        <w:numPr>
          <w:ilvl w:val="0"/>
          <w:numId w:val="22"/>
        </w:numPr>
        <w:tabs>
          <w:tab w:val="left" w:pos="5103" w:leader="none"/>
        </w:tabs>
        <w:jc w:val="both"/>
        <w:rPr>
          <w:rFonts w:ascii="Centaur" w:hAnsi="Centaur" w:cs="Centaur"/>
          <w:bCs/>
          <w:sz w:val="24"/>
          <w:szCs w:val="24"/>
        </w:rPr>
      </w:pPr>
      <w:r>
        <w:rPr>
          <w:rFonts w:cs="Centaur" w:ascii="Centaur" w:hAnsi="Centaur"/>
          <w:bCs/>
          <w:sz w:val="24"/>
          <w:szCs w:val="24"/>
        </w:rPr>
        <w:t>Resta salva la risarcibilità di ulteriori danni subiti dall’AP. Per ogni altro caso di inadempimento o inosservanza delle disposizioni del presente documento, il RUP può applicare all'EAP una penale da € 100,00 ad € 5.000,00, da valutarsi di volta in volta a seconda della gravità delle conseguenze dell'inadempimento.</w:t>
      </w:r>
    </w:p>
    <w:p>
      <w:pPr>
        <w:pStyle w:val="Normal"/>
        <w:numPr>
          <w:ilvl w:val="0"/>
          <w:numId w:val="22"/>
        </w:numPr>
        <w:tabs>
          <w:tab w:val="left" w:pos="5103" w:leader="none"/>
        </w:tabs>
        <w:jc w:val="both"/>
        <w:rPr>
          <w:rFonts w:ascii="Centaur" w:hAnsi="Centaur" w:cs="Centaur"/>
          <w:bCs/>
          <w:sz w:val="24"/>
          <w:szCs w:val="24"/>
        </w:rPr>
      </w:pPr>
      <w:r>
        <w:rPr>
          <w:rFonts w:cs="Centaur" w:ascii="Centaur" w:hAnsi="Centaur"/>
          <w:bCs/>
          <w:sz w:val="24"/>
          <w:szCs w:val="24"/>
        </w:rPr>
        <w:t>Gli importi addebitati a titolo di penale o per il risarcimento di danni e spese saranno recuperati mediante trattenuta sulle fatture in fase di liquidazione ovvero verranno incamerati con detrazione dal deposito cauzionale costituito a garanzia dell’esatto adempimento del contratto. L’AP si riserva in ogni caso tutte le azioni a tutela dei propri interessi anche attraverso l'immediata escussione della polizza fideiussoria.</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16 – Divieto di cessione</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24"/>
        </w:numPr>
        <w:tabs>
          <w:tab w:val="left" w:pos="5103" w:leader="none"/>
        </w:tabs>
        <w:jc w:val="both"/>
        <w:rPr>
          <w:rFonts w:ascii="Centaur" w:hAnsi="Centaur" w:cs="Centaur"/>
          <w:bCs/>
          <w:sz w:val="24"/>
          <w:szCs w:val="24"/>
        </w:rPr>
      </w:pPr>
      <w:r>
        <w:rPr>
          <w:rFonts w:cs="Centaur" w:ascii="Centaur" w:hAnsi="Centaur"/>
          <w:bCs/>
          <w:sz w:val="24"/>
          <w:szCs w:val="24"/>
        </w:rPr>
        <w:t>È vietato cedere anche parzialmente la presente convenzione, pena l’immediata risoluzione della stessa e il risarcimento dei danni e delle spese causate all’AP. L’esecuzione delle azioni è in capo alla sola co- progettante, salvo per le attività derivanti da rapporti di partenariato, individuati in sede di presentazione della proposta progettuale e approvate in sede di documento progettuale definitivo.</w:t>
      </w:r>
    </w:p>
    <w:p>
      <w:pPr>
        <w:pStyle w:val="Normal"/>
        <w:numPr>
          <w:ilvl w:val="0"/>
          <w:numId w:val="24"/>
        </w:numPr>
        <w:tabs>
          <w:tab w:val="left" w:pos="5103" w:leader="none"/>
        </w:tabs>
        <w:jc w:val="both"/>
        <w:rPr>
          <w:rFonts w:ascii="Centaur" w:hAnsi="Centaur" w:cs="Centaur"/>
          <w:bCs/>
          <w:sz w:val="24"/>
          <w:szCs w:val="24"/>
        </w:rPr>
      </w:pPr>
      <w:r>
        <w:rPr>
          <w:rFonts w:cs="Centaur" w:ascii="Centaur" w:hAnsi="Centaur"/>
          <w:bCs/>
          <w:sz w:val="24"/>
          <w:szCs w:val="24"/>
        </w:rPr>
        <w:t>Con la sottoscrizione della presente Convenzione, l’EAP assume l’impegno – in attuazione del principio di buona fede – di comunicare all’AP le criticità e le problematiche che dovessero insorgere al fine di poter scongiurare, ove possibile, le ipotesi previste dal precedente comma.</w:t>
      </w:r>
    </w:p>
    <w:p>
      <w:pPr>
        <w:pStyle w:val="Normal"/>
        <w:numPr>
          <w:ilvl w:val="0"/>
          <w:numId w:val="24"/>
        </w:numPr>
        <w:tabs>
          <w:tab w:val="left" w:pos="5103" w:leader="none"/>
        </w:tabs>
        <w:jc w:val="both"/>
        <w:rPr>
          <w:rFonts w:ascii="Centaur" w:hAnsi="Centaur" w:cs="Centaur"/>
          <w:bCs/>
          <w:sz w:val="24"/>
          <w:szCs w:val="24"/>
        </w:rPr>
      </w:pPr>
      <w:r>
        <w:rPr>
          <w:rFonts w:cs="Centaur" w:ascii="Centaur" w:hAnsi="Centaur"/>
          <w:bCs/>
          <w:sz w:val="24"/>
          <w:szCs w:val="24"/>
        </w:rPr>
        <w:t>Non è consentita la cessione dei crediti.</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17 – Procedura di co-progettazione circolare</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25"/>
        </w:numPr>
        <w:tabs>
          <w:tab w:val="left" w:pos="5103" w:leader="none"/>
        </w:tabs>
        <w:jc w:val="both"/>
        <w:rPr>
          <w:rFonts w:ascii="Centaur" w:hAnsi="Centaur" w:cs="Centaur"/>
          <w:bCs/>
          <w:sz w:val="24"/>
          <w:szCs w:val="24"/>
        </w:rPr>
      </w:pPr>
      <w:r>
        <w:rPr>
          <w:rFonts w:cs="Centaur" w:ascii="Centaur" w:hAnsi="Centaur"/>
          <w:bCs/>
          <w:sz w:val="24"/>
          <w:szCs w:val="24"/>
        </w:rPr>
        <w:t>Ai fini di coordinare le azioni e procedere alla continua integrazione e diversificazione delle tipologie e modalità di intervento, l’AP e l’EAP si impegnano a mantenere aperta la co-progettazione, per l’intera durata del Progetto, con verifiche e aggiornamenti con frequenza temporale definita in sede di co-progettazione.</w:t>
      </w:r>
    </w:p>
    <w:p>
      <w:pPr>
        <w:pStyle w:val="Normal"/>
        <w:numPr>
          <w:ilvl w:val="0"/>
          <w:numId w:val="25"/>
        </w:numPr>
        <w:tabs>
          <w:tab w:val="left" w:pos="5103" w:leader="none"/>
        </w:tabs>
        <w:jc w:val="both"/>
        <w:rPr>
          <w:rFonts w:ascii="Centaur" w:hAnsi="Centaur" w:cs="Centaur"/>
          <w:bCs/>
          <w:sz w:val="24"/>
          <w:szCs w:val="24"/>
        </w:rPr>
      </w:pPr>
      <w:r>
        <w:rPr>
          <w:rFonts w:cs="Centaur" w:ascii="Centaur" w:hAnsi="Centaur"/>
          <w:bCs/>
          <w:sz w:val="24"/>
          <w:szCs w:val="24"/>
        </w:rPr>
        <w:t>Il Comune di ………………,  Capofila del DSS ……, si riserva la facoltà di chiedere all’EAP la partecipazione in qualunque momento al Tavolo di co-progettazione, con frequenza anche superiore a quanto sopra previsto.</w:t>
      </w:r>
    </w:p>
    <w:p>
      <w:pPr>
        <w:pStyle w:val="Normal"/>
        <w:numPr>
          <w:ilvl w:val="0"/>
          <w:numId w:val="25"/>
        </w:numPr>
        <w:tabs>
          <w:tab w:val="left" w:pos="5103" w:leader="none"/>
        </w:tabs>
        <w:jc w:val="both"/>
        <w:rPr>
          <w:rFonts w:ascii="Centaur" w:hAnsi="Centaur" w:cs="Centaur"/>
          <w:bCs/>
          <w:sz w:val="24"/>
          <w:szCs w:val="24"/>
        </w:rPr>
      </w:pPr>
      <w:r>
        <w:rPr>
          <w:rFonts w:cs="Centaur" w:ascii="Centaur" w:hAnsi="Centaur"/>
          <w:bCs/>
          <w:sz w:val="24"/>
          <w:szCs w:val="24"/>
        </w:rPr>
        <w:t>La co-progettazione potrà essere sempre riattivata, qualora si manifestasse la necessità o l’opportunità di rivedere le modalità attuative o implementare l’assetto raggiunto in sede di stipula della convenzione finale, fermo restando il rispetto degli obiettivi e caratteristiche essenziali del progetto, coerentemente con quanto previsto dalla scheda progettuale allegata all’Avviso.</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18 - Sicurezza e riservatezza</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26"/>
        </w:numPr>
        <w:tabs>
          <w:tab w:val="left" w:pos="5103" w:leader="none"/>
        </w:tabs>
        <w:jc w:val="both"/>
        <w:rPr>
          <w:rFonts w:ascii="Centaur" w:hAnsi="Centaur" w:cs="Centaur"/>
          <w:bCs/>
          <w:sz w:val="24"/>
          <w:szCs w:val="24"/>
        </w:rPr>
      </w:pPr>
      <w:r>
        <w:rPr>
          <w:rFonts w:cs="Centaur" w:ascii="Centaur" w:hAnsi="Centaur"/>
          <w:bCs/>
          <w:sz w:val="24"/>
          <w:szCs w:val="24"/>
        </w:rPr>
        <w:t>In esecuzione della presente Convenzione l’EAP ha l’obbligo di mantenere riservati i dati e le informazioni, ivi comprese quelle che transitano per le apparecchiature di elaborazione dati, di cui venga in possesso e comunque a conoscenza, anche tramite l'esecuzione della Convenzione, di non divulgarli in alcun modo e in qualsiasi forma, di non farne oggetto di utilizzazione a qualsiasi titolo per scopi diversi da quelli strettamente necessari all’esecuzione della Convenzione e di non farne oggetto di comunicazione o trasmissione senza l'espressa autorizzazione dell’AP.</w:t>
      </w:r>
    </w:p>
    <w:p>
      <w:pPr>
        <w:pStyle w:val="Normal"/>
        <w:numPr>
          <w:ilvl w:val="0"/>
          <w:numId w:val="26"/>
        </w:numPr>
        <w:tabs>
          <w:tab w:val="left" w:pos="5103" w:leader="none"/>
        </w:tabs>
        <w:jc w:val="both"/>
        <w:rPr>
          <w:rFonts w:ascii="Centaur" w:hAnsi="Centaur" w:cs="Centaur"/>
          <w:bCs/>
          <w:sz w:val="24"/>
          <w:szCs w:val="24"/>
        </w:rPr>
      </w:pPr>
      <w:r>
        <w:rPr>
          <w:rFonts w:cs="Centaur" w:ascii="Centaur" w:hAnsi="Centaur"/>
          <w:bCs/>
          <w:sz w:val="24"/>
          <w:szCs w:val="24"/>
        </w:rPr>
        <w:t>L’obbligo di cui al precedente comma sussiste, altresì, relativamente a tutto il materiale originario o predisposto in esecuzione della Convenzione.</w:t>
      </w:r>
    </w:p>
    <w:p>
      <w:pPr>
        <w:pStyle w:val="Normal"/>
        <w:numPr>
          <w:ilvl w:val="0"/>
          <w:numId w:val="26"/>
        </w:numPr>
        <w:tabs>
          <w:tab w:val="left" w:pos="5103" w:leader="none"/>
        </w:tabs>
        <w:jc w:val="both"/>
        <w:rPr>
          <w:rFonts w:ascii="Centaur" w:hAnsi="Centaur" w:cs="Centaur"/>
          <w:bCs/>
          <w:sz w:val="24"/>
          <w:szCs w:val="24"/>
        </w:rPr>
      </w:pPr>
      <w:r>
        <w:rPr>
          <w:rFonts w:cs="Centaur" w:ascii="Centaur" w:hAnsi="Centaur"/>
          <w:bCs/>
          <w:sz w:val="24"/>
          <w:szCs w:val="24"/>
        </w:rPr>
        <w:t>L’obbligo di cui ai commi 1 e 2 non concerne i dati che siano o divengano di pubblico dominio.</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26"/>
        </w:numPr>
        <w:tabs>
          <w:tab w:val="left" w:pos="5103" w:leader="none"/>
        </w:tabs>
        <w:jc w:val="both"/>
        <w:rPr>
          <w:rFonts w:ascii="Centaur" w:hAnsi="Centaur" w:cs="Centaur"/>
          <w:bCs/>
          <w:sz w:val="24"/>
          <w:szCs w:val="24"/>
        </w:rPr>
      </w:pPr>
      <w:r>
        <w:rPr>
          <w:rFonts w:cs="Centaur" w:ascii="Centaur" w:hAnsi="Centaur"/>
          <w:bCs/>
          <w:sz w:val="24"/>
          <w:szCs w:val="24"/>
        </w:rPr>
        <w:t>L’EAP è responsabile per l’esatta osservanza da parte dei propri dipendenti, consulenti e collaboratori, nonché dei soggetti partner di progetto dell’ETS partecipante e dei dipendenti, consulenti e collaboratori di questi ultimi, degli obblighi di segretezza di cui ai punti 1, 2 e 3 e risponde nei confronti dell’Amministrazione comunale per eventuali violazioni dell’obbligo di riservatezza commesse dai suddetti soggetti.</w:t>
      </w:r>
    </w:p>
    <w:p>
      <w:pPr>
        <w:pStyle w:val="Normal"/>
        <w:numPr>
          <w:ilvl w:val="0"/>
          <w:numId w:val="26"/>
        </w:numPr>
        <w:tabs>
          <w:tab w:val="left" w:pos="5103" w:leader="none"/>
        </w:tabs>
        <w:jc w:val="both"/>
        <w:rPr>
          <w:rFonts w:ascii="Centaur" w:hAnsi="Centaur" w:cs="Centaur"/>
          <w:bCs/>
          <w:sz w:val="24"/>
          <w:szCs w:val="24"/>
        </w:rPr>
      </w:pPr>
      <w:r>
        <w:rPr>
          <w:rFonts w:cs="Centaur" w:ascii="Centaur" w:hAnsi="Centaur"/>
          <w:bCs/>
          <w:sz w:val="24"/>
          <w:szCs w:val="24"/>
        </w:rPr>
        <w:t>In caso di inosservanza degli obblighi descritti nei punti da 1 a 4, l’AP ha facoltà di dichiarare risolta di diritto la Convenzione, fermo restando che L’EAP sarà tenuto a risarcire tutti i danni che ne dovessero derivare.</w:t>
      </w:r>
    </w:p>
    <w:p>
      <w:pPr>
        <w:pStyle w:val="Normal"/>
        <w:numPr>
          <w:ilvl w:val="0"/>
          <w:numId w:val="26"/>
        </w:numPr>
        <w:tabs>
          <w:tab w:val="left" w:pos="5103" w:leader="none"/>
        </w:tabs>
        <w:jc w:val="both"/>
        <w:rPr>
          <w:rFonts w:ascii="Centaur" w:hAnsi="Centaur" w:cs="Centaur"/>
          <w:bCs/>
          <w:sz w:val="24"/>
          <w:szCs w:val="24"/>
        </w:rPr>
      </w:pPr>
      <w:r>
        <w:rPr>
          <w:rFonts w:cs="Centaur" w:ascii="Centaur" w:hAnsi="Centaur"/>
          <w:bCs/>
          <w:sz w:val="24"/>
          <w:szCs w:val="24"/>
        </w:rPr>
        <w:t>Sarà possibile ogni operazione di auditing da parte dell’AP attinente alle procedure adottate dall’EAP in materia di riservatezza e degli altri obblighi assunti dalla presente Convenzione.</w:t>
      </w:r>
    </w:p>
    <w:p>
      <w:pPr>
        <w:pStyle w:val="Normal"/>
        <w:numPr>
          <w:ilvl w:val="0"/>
          <w:numId w:val="26"/>
        </w:numPr>
        <w:tabs>
          <w:tab w:val="left" w:pos="5103" w:leader="none"/>
        </w:tabs>
        <w:jc w:val="both"/>
        <w:rPr>
          <w:rFonts w:ascii="Centaur" w:hAnsi="Centaur" w:cs="Centaur"/>
          <w:bCs/>
          <w:sz w:val="24"/>
          <w:szCs w:val="24"/>
        </w:rPr>
      </w:pPr>
      <w:r>
        <w:rPr>
          <w:rFonts w:cs="Centaur" w:ascii="Centaur" w:hAnsi="Centaur"/>
          <w:bCs/>
          <w:sz w:val="24"/>
          <w:szCs w:val="24"/>
        </w:rPr>
        <w:t>L’EAP non potrà conservare copia di dati e programmi dell’Amministrazione comunale, né alcuna documentazione inerente ad essi dopo la scadenza della Convenzione e dovrà, su richiesta, ritrasmetterli all'Amministrazione comunale.</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19 – Trattamento dei dati personali</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27"/>
        </w:numPr>
        <w:tabs>
          <w:tab w:val="left" w:pos="5103" w:leader="none"/>
        </w:tabs>
        <w:jc w:val="both"/>
        <w:rPr>
          <w:rFonts w:ascii="Centaur" w:hAnsi="Centaur" w:cs="Centaur"/>
          <w:bCs/>
          <w:sz w:val="24"/>
          <w:szCs w:val="24"/>
        </w:rPr>
      </w:pPr>
      <w:r>
        <w:rPr>
          <w:rFonts w:cs="Centaur" w:ascii="Centaur" w:hAnsi="Centaur"/>
          <w:bCs/>
          <w:sz w:val="24"/>
          <w:szCs w:val="24"/>
        </w:rPr>
        <w:t>Le Parti si impegnano a rispettare quanto previsto dal D.lgs. n. 196/2003, come modificato e integrato dal D.lgs. n. 101/2018 e s.m.i. e, in generale, dalle normative in materia di trattamento dei dati personali.</w:t>
      </w:r>
    </w:p>
    <w:p>
      <w:pPr>
        <w:pStyle w:val="Normal"/>
        <w:numPr>
          <w:ilvl w:val="0"/>
          <w:numId w:val="27"/>
        </w:numPr>
        <w:tabs>
          <w:tab w:val="left" w:pos="5103" w:leader="none"/>
        </w:tabs>
        <w:jc w:val="both"/>
        <w:rPr>
          <w:rFonts w:ascii="Centaur" w:hAnsi="Centaur" w:cs="Centaur"/>
          <w:bCs/>
          <w:sz w:val="24"/>
          <w:szCs w:val="24"/>
        </w:rPr>
      </w:pPr>
      <w:r>
        <w:rPr>
          <w:rFonts w:cs="Centaur" w:ascii="Centaur" w:hAnsi="Centaur"/>
          <w:bCs/>
          <w:sz w:val="24"/>
          <w:szCs w:val="24"/>
        </w:rPr>
        <w:t>L’AP, nel rispetto del Regolamento europeo sulla protezione dei dati GDPR 2016/679, tratta i dati per lo svolgimento di funzioni istituzionali e, pertanto, ai sensi dell’art. 6 comma 1 lett. e) non necessita del consenso dell’interessato. I dati personali sono trattati per le finalità indicate nella convenzione.</w:t>
      </w:r>
    </w:p>
    <w:p>
      <w:pPr>
        <w:pStyle w:val="ListParagraph"/>
        <w:numPr>
          <w:ilvl w:val="0"/>
          <w:numId w:val="28"/>
        </w:numPr>
        <w:tabs>
          <w:tab w:val="left" w:pos="5103" w:leader="none"/>
        </w:tabs>
        <w:jc w:val="both"/>
        <w:rPr>
          <w:rFonts w:ascii="Centaur" w:hAnsi="Centaur" w:cs="Centaur"/>
          <w:bCs/>
          <w:sz w:val="24"/>
          <w:szCs w:val="24"/>
        </w:rPr>
      </w:pPr>
      <w:r>
        <w:rPr>
          <w:rFonts w:cs="Centaur" w:ascii="Centaur" w:hAnsi="Centaur"/>
          <w:bCs/>
          <w:sz w:val="24"/>
          <w:szCs w:val="24"/>
        </w:rPr>
        <w:t>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in corso, da instaurare o cessati.</w:t>
      </w:r>
    </w:p>
    <w:p>
      <w:pPr>
        <w:pStyle w:val="Normal"/>
        <w:numPr>
          <w:ilvl w:val="0"/>
          <w:numId w:val="28"/>
        </w:numPr>
        <w:tabs>
          <w:tab w:val="left" w:pos="5103" w:leader="none"/>
        </w:tabs>
        <w:jc w:val="both"/>
        <w:rPr>
          <w:rFonts w:ascii="Centaur" w:hAnsi="Centaur" w:cs="Centaur"/>
          <w:bCs/>
          <w:sz w:val="24"/>
          <w:szCs w:val="24"/>
        </w:rPr>
      </w:pPr>
      <w:r>
        <w:rPr>
          <w:rFonts w:cs="Centaur" w:ascii="Centaur" w:hAnsi="Centaur"/>
          <w:bCs/>
          <w:sz w:val="24"/>
          <w:szCs w:val="24"/>
        </w:rPr>
        <w:t>In esecuzione della presente convenzione, l’EAP effettua trattamento di dati personali di titolarità dell’AP.</w:t>
      </w:r>
    </w:p>
    <w:p>
      <w:pPr>
        <w:pStyle w:val="Normal"/>
        <w:numPr>
          <w:ilvl w:val="0"/>
          <w:numId w:val="28"/>
        </w:numPr>
        <w:tabs>
          <w:tab w:val="left" w:pos="5103" w:leader="none"/>
        </w:tabs>
        <w:jc w:val="both"/>
        <w:rPr>
          <w:rFonts w:ascii="Centaur" w:hAnsi="Centaur" w:cs="Centaur"/>
          <w:bCs/>
          <w:sz w:val="24"/>
          <w:szCs w:val="24"/>
        </w:rPr>
      </w:pPr>
      <w:r>
        <w:rPr>
          <w:rFonts w:cs="Centaur" w:ascii="Centaur" w:hAnsi="Centaur"/>
          <w:bCs/>
          <w:sz w:val="24"/>
          <w:szCs w:val="24"/>
        </w:rPr>
        <w:t>In virtù di tale trattamento, le Parti stipulano l’Accordo allegato al fine di disciplinare oneri e responsabilità in aderenza al Regolamento (UE) del Parlamento e del Consiglio Europeo n. 2016/679 (di seguito, anche “GDPR”) e da ogni altra normativa applicabile.</w:t>
      </w:r>
    </w:p>
    <w:p>
      <w:pPr>
        <w:pStyle w:val="Normal"/>
        <w:numPr>
          <w:ilvl w:val="0"/>
          <w:numId w:val="28"/>
        </w:numPr>
        <w:tabs>
          <w:tab w:val="left" w:pos="5103" w:leader="none"/>
        </w:tabs>
        <w:jc w:val="both"/>
        <w:rPr>
          <w:rFonts w:ascii="Centaur" w:hAnsi="Centaur" w:cs="Centaur"/>
          <w:bCs/>
          <w:sz w:val="24"/>
          <w:szCs w:val="24"/>
        </w:rPr>
      </w:pPr>
      <w:r>
        <w:rPr>
          <w:rFonts w:cs="Centaur" w:ascii="Centaur" w:hAnsi="Centaur"/>
          <w:bCs/>
          <w:sz w:val="24"/>
          <w:szCs w:val="24"/>
        </w:rPr>
        <w:t>L’EAP è, pertanto, designato dal Comune di …………………. quale Responsabile del trattamento dei dati personali ai sensi e per gli effetti dell’art. 28 del Regolamento per il trattamento e si obbliga a dare esecuzione alla convenzione suindicata conformemente a quanto previsto dall’Accordo allegato al presente atto.</w:t>
      </w:r>
    </w:p>
    <w:p>
      <w:pPr>
        <w:pStyle w:val="Normal"/>
        <w:numPr>
          <w:ilvl w:val="0"/>
          <w:numId w:val="28"/>
        </w:numPr>
        <w:tabs>
          <w:tab w:val="left" w:pos="5103" w:leader="none"/>
        </w:tabs>
        <w:jc w:val="both"/>
        <w:rPr>
          <w:rFonts w:ascii="Centaur" w:hAnsi="Centaur" w:cs="Centaur"/>
          <w:bCs/>
          <w:sz w:val="24"/>
          <w:szCs w:val="24"/>
        </w:rPr>
      </w:pPr>
      <w:r>
        <w:rPr>
          <w:rFonts w:cs="Centaur" w:ascii="Centaur" w:hAnsi="Centaur"/>
          <w:bCs/>
          <w:sz w:val="24"/>
          <w:szCs w:val="24"/>
        </w:rPr>
        <w:t>L’Ente Comune di ………………. ha designato quale Responsabile della protezione dei dati la società ……,  referente ……………….. - dati di contatto: ……………….. .</w:t>
      </w:r>
    </w:p>
    <w:p>
      <w:pPr>
        <w:pStyle w:val="Normal"/>
        <w:numPr>
          <w:ilvl w:val="0"/>
          <w:numId w:val="28"/>
        </w:numPr>
        <w:tabs>
          <w:tab w:val="left" w:pos="5103" w:leader="none"/>
        </w:tabs>
        <w:jc w:val="both"/>
        <w:rPr>
          <w:rFonts w:ascii="Centaur" w:hAnsi="Centaur" w:cs="Centaur"/>
          <w:bCs/>
          <w:sz w:val="24"/>
          <w:szCs w:val="24"/>
        </w:rPr>
      </w:pPr>
      <w:r>
        <w:rPr>
          <w:rFonts w:cs="Centaur" w:ascii="Centaur" w:hAnsi="Centaur"/>
          <w:bCs/>
          <w:sz w:val="24"/>
          <w:szCs w:val="24"/>
        </w:rPr>
        <w:t>Le Parti riconoscono e convengono che il rispetto delle istruzioni di cui all’accordo allegato, nonché alle prescrizioni della normativa applicabile, non producono l’insorgere di un diritto, in capo al Responsabile del trattamento, al rimborso delle eventuali spese che lo stesso potrebbe dover sostenere per conformarsi.</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20 - Codice di Comportamento, Protocolli di legalità e delle misure</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29"/>
        </w:numPr>
        <w:tabs>
          <w:tab w:val="left" w:pos="5103" w:leader="none"/>
        </w:tabs>
        <w:jc w:val="both"/>
        <w:rPr>
          <w:rFonts w:ascii="Centaur" w:hAnsi="Centaur" w:cs="Centaur"/>
          <w:bCs/>
          <w:sz w:val="24"/>
          <w:szCs w:val="24"/>
        </w:rPr>
      </w:pPr>
      <w:r>
        <w:rPr>
          <w:rFonts w:cs="Centaur" w:ascii="Centaur" w:hAnsi="Centaur"/>
          <w:bCs/>
          <w:sz w:val="24"/>
          <w:szCs w:val="24"/>
        </w:rPr>
        <w:t xml:space="preserve">Ai sensi del combinato disposto dell’art. 2, co.3, del D.P.R. n. 62/2013 “Regolamento recante codice di comportamento dei dipendenti pubblici, a norma dell’art.54 del D.Lgs. 30/03/01 n. 165 e del Codice di comportamento del Comune di …………….., adottato con deliberazione di Giunta Comunale n. </w:t>
      </w:r>
      <w:r>
        <w:rPr>
          <w:rFonts w:cs="Centaur" w:ascii="Centaur" w:hAnsi="Centaur"/>
          <w:b/>
          <w:bCs/>
          <w:sz w:val="24"/>
          <w:szCs w:val="24"/>
        </w:rPr>
        <w:t xml:space="preserve">………………. </w:t>
      </w:r>
      <w:r>
        <w:rPr>
          <w:rFonts w:cs="Centaur" w:ascii="Centaur" w:hAnsi="Centaur"/>
          <w:bCs/>
          <w:sz w:val="24"/>
          <w:szCs w:val="24"/>
        </w:rPr>
        <w:t>– reperibile sul sito internet dell’AP, l’EAP e, per suo tramite, i suoi dipendenti e/o collaboratori a qualsiasi titolo, si impegnano, pena la risoluzione della Convenzione, al rispetto degli obblighi di condotta previsti dai sopracitati codici per quanto compatibili, pena la risoluzione del contratto.</w:t>
      </w:r>
    </w:p>
    <w:p>
      <w:pPr>
        <w:pStyle w:val="Normal"/>
        <w:numPr>
          <w:ilvl w:val="0"/>
          <w:numId w:val="29"/>
        </w:numPr>
        <w:tabs>
          <w:tab w:val="left" w:pos="5103" w:leader="none"/>
        </w:tabs>
        <w:jc w:val="both"/>
        <w:rPr>
          <w:rFonts w:ascii="Centaur" w:hAnsi="Centaur" w:cs="Centaur"/>
          <w:bCs/>
          <w:sz w:val="24"/>
          <w:szCs w:val="24"/>
        </w:rPr>
      </w:pPr>
      <w:r>
        <w:rPr>
          <w:rFonts w:cs="Centaur" w:ascii="Centaur" w:hAnsi="Centaur"/>
          <w:bCs/>
          <w:sz w:val="24"/>
          <w:szCs w:val="24"/>
        </w:rPr>
        <w:t>L’EAP e, per suo tramite, i suoi dipendenti e/o collaboratori a qualsiasi titolo, si impegnano altresì, pena la risoluzione della convenzione, al rispetto:</w:t>
      </w:r>
    </w:p>
    <w:p>
      <w:pPr>
        <w:pStyle w:val="Normal"/>
        <w:numPr>
          <w:ilvl w:val="0"/>
          <w:numId w:val="30"/>
        </w:numPr>
        <w:tabs>
          <w:tab w:val="left" w:pos="5103" w:leader="none"/>
        </w:tabs>
        <w:jc w:val="both"/>
        <w:rPr>
          <w:rFonts w:ascii="Centaur" w:hAnsi="Centaur" w:cs="Centaur"/>
          <w:bCs/>
          <w:sz w:val="24"/>
          <w:szCs w:val="24"/>
        </w:rPr>
      </w:pPr>
      <w:r>
        <w:rPr>
          <w:rFonts w:cs="Centaur" w:ascii="Centaur" w:hAnsi="Centaur"/>
          <w:bCs/>
          <w:sz w:val="24"/>
          <w:szCs w:val="24"/>
        </w:rPr>
        <w:t>dei Protocolli di legalità sottoscritti dal Comune di ………………. o ai quali lo stesso ha aderito;</w:t>
      </w:r>
    </w:p>
    <w:p>
      <w:pPr>
        <w:pStyle w:val="Normal"/>
        <w:numPr>
          <w:ilvl w:val="0"/>
          <w:numId w:val="30"/>
        </w:numPr>
        <w:tabs>
          <w:tab w:val="left" w:pos="5103" w:leader="none"/>
        </w:tabs>
        <w:jc w:val="both"/>
        <w:rPr>
          <w:rFonts w:ascii="Centaur" w:hAnsi="Centaur" w:cs="Centaur"/>
          <w:bCs/>
          <w:sz w:val="24"/>
          <w:szCs w:val="24"/>
        </w:rPr>
      </w:pPr>
      <w:r>
        <w:rPr>
          <w:rFonts w:cs="Centaur" w:ascii="Centaur" w:hAnsi="Centaur"/>
          <w:bCs/>
          <w:sz w:val="24"/>
          <w:szCs w:val="24"/>
        </w:rPr>
        <w:t>dell’osservanza di quanto prescritto nel Piano Triennale e di prevenzione della corruzione approvato dal Comune di ………………..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21 – Sospensione e revoca del contributo</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numPr>
          <w:ilvl w:val="0"/>
          <w:numId w:val="31"/>
        </w:numPr>
        <w:tabs>
          <w:tab w:val="left" w:pos="5103" w:leader="none"/>
        </w:tabs>
        <w:jc w:val="both"/>
        <w:rPr>
          <w:rFonts w:ascii="Centaur" w:hAnsi="Centaur" w:cs="Centaur"/>
          <w:bCs/>
          <w:sz w:val="24"/>
          <w:szCs w:val="24"/>
        </w:rPr>
      </w:pPr>
      <w:r>
        <w:rPr>
          <w:rFonts w:cs="Centaur" w:ascii="Centaur" w:hAnsi="Centaur"/>
          <w:bCs/>
          <w:sz w:val="24"/>
          <w:szCs w:val="24"/>
        </w:rPr>
        <w:t>Il contributo viene ridotto in base alle spese ammissibili effettivamente sostenute e rendicontate (revoca parziale).</w:t>
      </w:r>
    </w:p>
    <w:p>
      <w:pPr>
        <w:pStyle w:val="Normal"/>
        <w:numPr>
          <w:ilvl w:val="0"/>
          <w:numId w:val="31"/>
        </w:numPr>
        <w:tabs>
          <w:tab w:val="left" w:pos="5103" w:leader="none"/>
        </w:tabs>
        <w:jc w:val="both"/>
        <w:rPr>
          <w:rFonts w:ascii="Centaur" w:hAnsi="Centaur" w:cs="Centaur"/>
          <w:bCs/>
          <w:sz w:val="24"/>
          <w:szCs w:val="24"/>
        </w:rPr>
      </w:pPr>
      <w:r>
        <w:rPr>
          <w:rFonts w:cs="Centaur" w:ascii="Centaur" w:hAnsi="Centaur"/>
          <w:bCs/>
          <w:sz w:val="24"/>
          <w:szCs w:val="24"/>
        </w:rPr>
        <w:t>È disposta la revoca integrale del contributo assegnato nel caso di gravi violazioni di leggi e regolamenti nonché nel caso di contravvenzione alle previsioni contenute nell’Avviso pubblico approvato con D.D. n_ del</w:t>
      </w:r>
      <w:r>
        <w:rPr>
          <w:rFonts w:cs="Centaur" w:ascii="Centaur" w:hAnsi="Centaur"/>
          <w:bCs/>
          <w:sz w:val="24"/>
          <w:szCs w:val="24"/>
          <w:u w:val="single"/>
        </w:rPr>
        <w:tab/>
      </w:r>
      <w:r>
        <w:rPr>
          <w:rFonts w:cs="Centaur" w:ascii="Centaur" w:hAnsi="Centaur"/>
          <w:bCs/>
          <w:sz w:val="24"/>
          <w:szCs w:val="24"/>
        </w:rPr>
        <w:t>.</w:t>
      </w:r>
    </w:p>
    <w:p>
      <w:pPr>
        <w:pStyle w:val="Normal"/>
        <w:numPr>
          <w:ilvl w:val="0"/>
          <w:numId w:val="31"/>
        </w:numPr>
        <w:tabs>
          <w:tab w:val="left" w:pos="5103" w:leader="none"/>
        </w:tabs>
        <w:jc w:val="both"/>
        <w:rPr>
          <w:rFonts w:ascii="Centaur" w:hAnsi="Centaur" w:cs="Centaur"/>
          <w:bCs/>
          <w:sz w:val="24"/>
          <w:szCs w:val="24"/>
        </w:rPr>
      </w:pPr>
      <w:r>
        <w:rPr>
          <w:rFonts w:cs="Centaur" w:ascii="Centaur" w:hAnsi="Centaur"/>
          <w:bCs/>
          <w:sz w:val="24"/>
          <w:szCs w:val="24"/>
        </w:rPr>
        <w:t>In particolare, si potrà procedere alla revoca del contributo nei seguenti casi:</w:t>
      </w:r>
    </w:p>
    <w:p>
      <w:pPr>
        <w:pStyle w:val="Normal"/>
        <w:numPr>
          <w:ilvl w:val="1"/>
          <w:numId w:val="31"/>
        </w:numPr>
        <w:tabs>
          <w:tab w:val="left" w:pos="5103" w:leader="none"/>
        </w:tabs>
        <w:jc w:val="both"/>
        <w:rPr>
          <w:rFonts w:ascii="Centaur" w:hAnsi="Centaur" w:cs="Centaur"/>
          <w:bCs/>
          <w:sz w:val="24"/>
          <w:szCs w:val="24"/>
        </w:rPr>
      </w:pPr>
      <w:r>
        <w:rPr>
          <w:rFonts w:cs="Centaur" w:ascii="Centaur" w:hAnsi="Centaur"/>
          <w:bCs/>
          <w:sz w:val="24"/>
          <w:szCs w:val="24"/>
        </w:rPr>
        <w:t>irregolarità, frodi, indebiti utilizzi delle risorse, conflitti di interesse e doppio finanziamento pubblico degli interventi;</w:t>
      </w:r>
    </w:p>
    <w:p>
      <w:pPr>
        <w:pStyle w:val="Normal"/>
        <w:numPr>
          <w:ilvl w:val="1"/>
          <w:numId w:val="31"/>
        </w:numPr>
        <w:tabs>
          <w:tab w:val="left" w:pos="5103" w:leader="none"/>
        </w:tabs>
        <w:jc w:val="both"/>
        <w:rPr>
          <w:rFonts w:ascii="Centaur" w:hAnsi="Centaur" w:cs="Centaur"/>
          <w:bCs/>
          <w:sz w:val="24"/>
          <w:szCs w:val="24"/>
        </w:rPr>
      </w:pPr>
      <w:r>
        <w:rPr>
          <w:rFonts w:cs="Centaur" w:ascii="Centaur" w:hAnsi="Centaur"/>
          <w:bCs/>
          <w:sz w:val="24"/>
          <w:szCs w:val="24"/>
        </w:rPr>
        <w:t>mancato raggiungimento, nei tempi assegnati, degli obiettivi previsti dall’investimento.</w:t>
      </w:r>
    </w:p>
    <w:p>
      <w:pPr>
        <w:pStyle w:val="Normal"/>
        <w:numPr>
          <w:ilvl w:val="0"/>
          <w:numId w:val="31"/>
        </w:numPr>
        <w:tabs>
          <w:tab w:val="left" w:pos="5103" w:leader="none"/>
        </w:tabs>
        <w:jc w:val="both"/>
        <w:rPr>
          <w:rFonts w:ascii="Centaur" w:hAnsi="Centaur" w:cs="Centaur"/>
          <w:bCs/>
          <w:sz w:val="24"/>
          <w:szCs w:val="24"/>
        </w:rPr>
      </w:pPr>
      <w:r>
        <w:rPr>
          <w:rFonts w:cs="Centaur" w:ascii="Centaur" w:hAnsi="Centaur"/>
          <w:bCs/>
          <w:sz w:val="24"/>
          <w:szCs w:val="24"/>
        </w:rPr>
        <w:t>In caso di violazione dei principi generali di DNSH e tagging climatico e digitale, potrà essere disposta la sospensione o la revoca del contributo.</w:t>
      </w:r>
    </w:p>
    <w:p>
      <w:pPr>
        <w:pStyle w:val="Normal"/>
        <w:numPr>
          <w:ilvl w:val="0"/>
          <w:numId w:val="31"/>
        </w:numPr>
        <w:tabs>
          <w:tab w:val="left" w:pos="5103" w:leader="none"/>
        </w:tabs>
        <w:jc w:val="both"/>
        <w:rPr>
          <w:rFonts w:ascii="Centaur" w:hAnsi="Centaur" w:cs="Centaur"/>
          <w:bCs/>
          <w:sz w:val="24"/>
          <w:szCs w:val="24"/>
        </w:rPr>
      </w:pPr>
      <w:r>
        <w:rPr>
          <w:rFonts w:cs="Centaur" w:ascii="Centaur" w:hAnsi="Centaur"/>
          <w:bCs/>
          <w:sz w:val="24"/>
          <w:szCs w:val="24"/>
        </w:rPr>
        <w:t>Le modifiche progettuali non tempestivamente comunicate all’AP, o non approvate da quest’ultima, comportano la decurtazione dei costi ammissibili collegati alle attività modificate, e, nei casi più gravi, la revoca integrale dal contributo concesso, con conseguente recupero degli importi eventualmente già erogati.</w:t>
      </w:r>
    </w:p>
    <w:p>
      <w:pPr>
        <w:pStyle w:val="Normal"/>
        <w:numPr>
          <w:ilvl w:val="0"/>
          <w:numId w:val="31"/>
        </w:numPr>
        <w:tabs>
          <w:tab w:val="left" w:pos="5103" w:leader="none"/>
        </w:tabs>
        <w:jc w:val="both"/>
        <w:rPr>
          <w:rFonts w:ascii="Centaur" w:hAnsi="Centaur" w:cs="Centaur"/>
          <w:bCs/>
          <w:sz w:val="24"/>
          <w:szCs w:val="24"/>
        </w:rPr>
      </w:pPr>
      <w:r>
        <w:rPr>
          <w:rFonts w:cs="Centaur" w:ascii="Centaur" w:hAnsi="Centaur"/>
          <w:bCs/>
          <w:sz w:val="24"/>
          <w:szCs w:val="24"/>
        </w:rPr>
        <w:t>L’EAP è obbligato a fornire tempestivamente ogni informazione in merito ad errori o omissioni che possano dar luogo a riduzione o revoca del contributo.</w:t>
      </w:r>
    </w:p>
    <w:p>
      <w:pPr>
        <w:pStyle w:val="Normal"/>
        <w:numPr>
          <w:ilvl w:val="0"/>
          <w:numId w:val="31"/>
        </w:numPr>
        <w:tabs>
          <w:tab w:val="left" w:pos="5103" w:leader="none"/>
        </w:tabs>
        <w:jc w:val="both"/>
        <w:rPr>
          <w:rFonts w:ascii="Centaur" w:hAnsi="Centaur" w:cs="Centaur"/>
          <w:bCs/>
          <w:sz w:val="24"/>
          <w:szCs w:val="24"/>
        </w:rPr>
      </w:pPr>
      <w:r>
        <w:rPr>
          <w:rFonts w:cs="Centaur" w:ascii="Centaur" w:hAnsi="Centaur"/>
          <w:bCs/>
          <w:sz w:val="24"/>
          <w:szCs w:val="24"/>
        </w:rPr>
        <w:t>In caso di mancato rispetto degli obblighi e impegni finalizzati all’attuazione del progetto finanziato, ovvero di ritardo, inerzia o difformità nell’esecuzione dello stesso, sarà attivato il procedimento di revoca del contributo.</w:t>
      </w:r>
    </w:p>
    <w:p>
      <w:pPr>
        <w:pStyle w:val="Normal"/>
        <w:numPr>
          <w:ilvl w:val="0"/>
          <w:numId w:val="31"/>
        </w:numPr>
        <w:tabs>
          <w:tab w:val="left" w:pos="5103" w:leader="none"/>
        </w:tabs>
        <w:jc w:val="both"/>
        <w:rPr>
          <w:rFonts w:ascii="Centaur" w:hAnsi="Centaur" w:cs="Centaur"/>
          <w:bCs/>
          <w:sz w:val="24"/>
          <w:szCs w:val="24"/>
        </w:rPr>
      </w:pPr>
      <w:r>
        <w:rPr>
          <w:rFonts w:cs="Centaur" w:ascii="Centaur" w:hAnsi="Centaur"/>
          <w:bCs/>
          <w:sz w:val="24"/>
          <w:szCs w:val="24"/>
        </w:rPr>
        <w:t>Nel caso di revoca parziale o integrale, l’EAP è tenuto a restituire le somme già erogate dall’AP in suo favore.</w:t>
      </w:r>
    </w:p>
    <w:p>
      <w:pPr>
        <w:pStyle w:val="Normal"/>
        <w:numPr>
          <w:ilvl w:val="0"/>
          <w:numId w:val="31"/>
        </w:numPr>
        <w:tabs>
          <w:tab w:val="left" w:pos="5103" w:leader="none"/>
        </w:tabs>
        <w:jc w:val="both"/>
        <w:rPr>
          <w:rFonts w:ascii="Centaur" w:hAnsi="Centaur" w:cs="Centaur"/>
          <w:bCs/>
          <w:sz w:val="24"/>
          <w:szCs w:val="24"/>
        </w:rPr>
      </w:pPr>
      <w:r>
        <w:rPr>
          <w:rFonts w:cs="Centaur" w:ascii="Centaur" w:hAnsi="Centaur"/>
          <w:bCs/>
          <w:sz w:val="24"/>
          <w:szCs w:val="24"/>
        </w:rPr>
        <w:t>L’AP si riserva in qualsiasi momento di disporre la sospensione o cessazione degli interventi e delle attività, sempre a fronte di sopravvenute Disposizioni regionali, nazionali o europee, nonché per sopravvenuti motivi di interesse pubblico o al verificarsi di eventi imprevedibili, o per far fronte a situazioni di emergenza. Al/ai soggetto/i partner non verrà riconosciuto alcunché a titolo di indennizzo o risarcimento.</w:t>
      </w:r>
    </w:p>
    <w:p>
      <w:pPr>
        <w:pStyle w:val="Normal"/>
        <w:numPr>
          <w:ilvl w:val="0"/>
          <w:numId w:val="31"/>
        </w:numPr>
        <w:tabs>
          <w:tab w:val="left" w:pos="426" w:leader="none"/>
        </w:tabs>
        <w:jc w:val="both"/>
        <w:rPr>
          <w:rFonts w:ascii="Centaur" w:hAnsi="Centaur" w:cs="Centaur"/>
          <w:bCs/>
          <w:sz w:val="24"/>
          <w:szCs w:val="24"/>
        </w:rPr>
      </w:pPr>
      <w:r>
        <w:rPr>
          <w:rFonts w:cs="Centaur" w:ascii="Centaur" w:hAnsi="Centaur"/>
          <w:bCs/>
          <w:sz w:val="24"/>
          <w:szCs w:val="24"/>
        </w:rPr>
        <w:t>I requisiti di partecipazione previsti dall’Avviso Pubblico approvato con D.D. n.</w:t>
      </w:r>
      <w:r>
        <w:rPr>
          <w:rFonts w:cs="Centaur" w:ascii="Centaur" w:hAnsi="Centaur"/>
          <w:bCs/>
          <w:sz w:val="24"/>
          <w:szCs w:val="24"/>
          <w:u w:val="single"/>
        </w:rPr>
        <w:tab/>
      </w:r>
      <w:r>
        <w:rPr>
          <w:rFonts w:cs="Centaur" w:ascii="Centaur" w:hAnsi="Centaur"/>
          <w:bCs/>
          <w:sz w:val="24"/>
          <w:szCs w:val="24"/>
        </w:rPr>
        <w:t>del</w:t>
      </w:r>
      <w:r>
        <w:rPr>
          <w:rFonts w:cs="Centaur" w:ascii="Centaur" w:hAnsi="Centaur"/>
          <w:bCs/>
          <w:sz w:val="24"/>
          <w:szCs w:val="24"/>
          <w:u w:val="single"/>
        </w:rPr>
        <w:tab/>
      </w:r>
      <w:r>
        <w:rPr>
          <w:rFonts w:cs="Centaur" w:ascii="Centaur" w:hAnsi="Centaur"/>
          <w:bCs/>
          <w:sz w:val="24"/>
          <w:szCs w:val="24"/>
        </w:rPr>
        <w:tab/>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t>analogamente a quanto avviene nell’ambito delle procedure di affidamento dei contratti pubblici - devono essere posseduti per tutta la durata del rapporto negoziale. La perdita di tali requisiti determina l’automatica risoluzione dell’atto negoziale con conseguente revoca immediata del contributo. Saranno corrisposte, se dovute, solamente le somme erogabili fino alla permanenza dei requisiti.</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22 – Revisione</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1. Ogni eventuale revisione alla presente Convenzione, anche se dovuta in relazione a sopraggiunte modifiche normative, dovrà essere approvata per iscritto, di comune accordo tra le parti.</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23 – Rinvii normativi</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1. Per tutto quanto non espressamente previsto dalla presente Convenzione, si fa riferimento al Codice Civile, alle disposizioni di legge vigenti e applicabili in materia e a quelle richiamate negli atti di cui alle Premesse.</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24 – Controversie</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1. Qualunque contestazione o vertenza dovesse insorgere tra le parti, che non potrà essere risolta bonariamente, sarà rimessa alla giurisdizione del giudice competente. Foro competente è il Foro di TRAPANI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25 – Registrazione</w:t>
      </w:r>
    </w:p>
    <w:p>
      <w:pPr>
        <w:pStyle w:val="Normal"/>
        <w:tabs>
          <w:tab w:val="left" w:pos="5103" w:leader="none"/>
        </w:tabs>
        <w:jc w:val="both"/>
        <w:rPr>
          <w:rFonts w:ascii="Centaur" w:hAnsi="Centaur" w:cs="Centaur"/>
          <w:bCs/>
          <w:sz w:val="24"/>
          <w:szCs w:val="24"/>
        </w:rPr>
      </w:pPr>
      <w:r>
        <w:rPr>
          <w:rFonts w:cs="Centaur" w:ascii="Centaur" w:hAnsi="Centaur"/>
          <w:bCs/>
          <w:sz w:val="24"/>
          <w:szCs w:val="24"/>
        </w:rPr>
        <w:t>1. La presente Convenzione, redatta nella forma della scrittura privata, sarà sottoposta a registrazione in caso d’uso con oneri e spese a carico dell’EAP.</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t>Art. 26 – Allegati</w:t>
      </w:r>
    </w:p>
    <w:p>
      <w:pPr>
        <w:pStyle w:val="Normal"/>
        <w:tabs>
          <w:tab w:val="left" w:pos="5103" w:leader="none"/>
        </w:tabs>
        <w:jc w:val="both"/>
        <w:rPr>
          <w:rFonts w:ascii="Centaur" w:hAnsi="Centaur" w:cs="Centaur"/>
          <w:b/>
          <w:b/>
          <w:bCs/>
          <w:sz w:val="24"/>
          <w:szCs w:val="24"/>
        </w:rPr>
      </w:pPr>
      <w:r>
        <w:rPr>
          <w:rFonts w:cs="Centaur" w:ascii="Centaur" w:hAnsi="Centaur"/>
          <w:b/>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1. Sono da considerarsi quale parte integrante e sostanziale della presente Convenzione, anche se non ad essa materialmente allegati, i seguenti atti e documenti:</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30"/>
        </w:numPr>
        <w:tabs>
          <w:tab w:val="left" w:pos="5103" w:leader="none"/>
        </w:tabs>
        <w:jc w:val="both"/>
        <w:rPr>
          <w:rFonts w:ascii="Centaur" w:hAnsi="Centaur" w:cs="Centaur"/>
          <w:bCs/>
          <w:sz w:val="24"/>
          <w:szCs w:val="24"/>
        </w:rPr>
      </w:pPr>
      <w:r>
        <w:rPr>
          <w:rFonts w:cs="Centaur" w:ascii="Centaur" w:hAnsi="Centaur"/>
          <w:bCs/>
          <w:sz w:val="24"/>
          <w:szCs w:val="24"/>
        </w:rPr>
        <w:t>Determinazione Dirigenziale di conclusione del procedimento.</w:t>
      </w:r>
    </w:p>
    <w:p>
      <w:pPr>
        <w:pStyle w:val="Normal"/>
        <w:numPr>
          <w:ilvl w:val="0"/>
          <w:numId w:val="30"/>
        </w:numPr>
        <w:tabs>
          <w:tab w:val="left" w:pos="5103" w:leader="none"/>
        </w:tabs>
        <w:jc w:val="both"/>
        <w:rPr>
          <w:rFonts w:ascii="Centaur" w:hAnsi="Centaur" w:cs="Centaur"/>
          <w:bCs/>
          <w:sz w:val="24"/>
          <w:szCs w:val="24"/>
        </w:rPr>
      </w:pPr>
      <w:r>
        <w:rPr>
          <w:rFonts w:cs="Centaur" w:ascii="Centaur" w:hAnsi="Centaur"/>
          <w:bCs/>
          <w:sz w:val="24"/>
          <w:szCs w:val="24"/>
        </w:rPr>
        <w:t>Progetto Definitivo come risultante da tavolo di co-progettazione.</w:t>
      </w:r>
    </w:p>
    <w:p>
      <w:pPr>
        <w:pStyle w:val="Normal"/>
        <w:numPr>
          <w:ilvl w:val="0"/>
          <w:numId w:val="30"/>
        </w:numPr>
        <w:tabs>
          <w:tab w:val="left" w:pos="5103" w:leader="none"/>
        </w:tabs>
        <w:jc w:val="both"/>
        <w:rPr>
          <w:rFonts w:ascii="Centaur" w:hAnsi="Centaur" w:cs="Centaur"/>
          <w:bCs/>
          <w:sz w:val="24"/>
          <w:szCs w:val="24"/>
        </w:rPr>
      </w:pPr>
      <w:r>
        <w:rPr>
          <w:rFonts w:cs="Centaur" w:ascii="Centaur" w:hAnsi="Centaur"/>
          <w:bCs/>
          <w:sz w:val="24"/>
          <w:szCs w:val="24"/>
        </w:rPr>
        <w:t xml:space="preserve">Accordo per il trattamento di dati personali </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   </w:t>
      </w:r>
    </w:p>
    <w:p>
      <w:pPr>
        <w:pStyle w:val="Normal"/>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Cs/>
          <w:sz w:val="24"/>
          <w:szCs w:val="24"/>
        </w:rPr>
        <w:t>,   li……………………..</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FIRME</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Per il Comune di ……………a </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Capofila del Distretto S.S. n. …… </w:t>
      </w:r>
    </w:p>
    <w:p>
      <w:pPr>
        <w:pStyle w:val="Normal"/>
        <w:tabs>
          <w:tab w:val="left" w:pos="5103" w:leader="none"/>
        </w:tabs>
        <w:jc w:val="both"/>
        <w:rPr>
          <w:rFonts w:ascii="Centaur" w:hAnsi="Centaur" w:cs="Centaur"/>
          <w:bCs/>
          <w:sz w:val="24"/>
          <w:szCs w:val="24"/>
        </w:rPr>
      </w:pPr>
      <w:r>
        <w:rPr>
          <w:rFonts w:cs="Centaur" w:ascii="Centaur" w:hAnsi="Centaur"/>
          <w:bCs/>
          <w:sz w:val="24"/>
          <w:szCs w:val="24"/>
        </w:rPr>
        <w:t>Il Dirigente</w:t>
      </w:r>
    </w:p>
    <w:p>
      <w:pPr>
        <w:pStyle w:val="Normal"/>
        <w:tabs>
          <w:tab w:val="left" w:pos="5103" w:leader="none"/>
        </w:tabs>
        <w:jc w:val="both"/>
        <w:rPr>
          <w:rFonts w:ascii="Centaur" w:hAnsi="Centaur" w:cs="Centaur"/>
          <w:bCs/>
          <w:sz w:val="24"/>
          <w:szCs w:val="24"/>
        </w:rPr>
      </w:pPr>
      <w:r>
        <w:rPr>
          <w:rFonts w:cs="Centaur" w:ascii="Centaur" w:hAnsi="Centaur"/>
          <w:bCs/>
          <w:sz w:val="24"/>
          <w:szCs w:val="24"/>
        </w:rPr>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Per l’Ente Attuatore Partner Il Legale rappresentante</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    </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Il sottoscritto nella qualità di Legale Rappresentante del «</w:t>
        <w:tab/>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t>quale EAP, dichiara di avere perfetta e particolareggiata conoscenza delle clausole convenzionali e di tutti gli atti ivi richiamati ed, ai sensi e per gli effetti degli articoli 1341 e 1342 c.c., dichiara di accettare espressamente tutte le condizioni e patti ivi contenuti (in particolare artt</w:t>
      </w:r>
      <w:r>
        <w:rPr>
          <w:rFonts w:cs="Centaur" w:ascii="Centaur" w:hAnsi="Centaur"/>
          <w:bCs/>
          <w:sz w:val="24"/>
          <w:szCs w:val="24"/>
          <w:u w:val="single"/>
        </w:rPr>
        <w:tab/>
      </w:r>
      <w:r>
        <w:rPr>
          <w:rFonts w:cs="Centaur" w:ascii="Centaur" w:hAnsi="Centaur"/>
          <w:bCs/>
          <w:sz w:val="24"/>
          <w:szCs w:val="24"/>
        </w:rPr>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(luogo),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Il Legale Rappresentante dell’Ente Attuatore Partner «</w:t>
        <w:tab/>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t>…………………………………</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sectPr>
          <w:headerReference w:type="default" r:id="rId3"/>
          <w:type w:val="nextPage"/>
          <w:pgSz w:w="11906" w:h="16850"/>
          <w:pgMar w:left="820" w:right="620" w:header="661" w:top="1680" w:footer="0" w:bottom="980" w:gutter="0"/>
          <w:pgNumType w:fmt="decimal"/>
          <w:formProt w:val="false"/>
          <w:textDirection w:val="lrTb"/>
          <w:docGrid w:type="default" w:linePitch="100" w:charSpace="8192"/>
        </w:sect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
          <w:b/>
          <w:sz w:val="24"/>
          <w:szCs w:val="24"/>
        </w:rPr>
      </w:pPr>
      <w:r>
        <w:rPr>
          <w:rFonts w:cs="Centaur" w:ascii="Centaur" w:hAnsi="Centaur"/>
          <w:b/>
          <w:sz w:val="24"/>
          <w:szCs w:val="24"/>
        </w:rPr>
        <w:t>ACCORDO PER IL TRATTAMENTO DI DATI PERSONALI</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Il presente accordo costituisce allegato parte integrante della convenzione siglata tra l’Ente e il Soggetto esterno designato Responsabile del trattamento di dati personali ai sensi dell’art. 28 del GDPR. Il presente Accordo si compone delle clausole di seguito rappresentate e dal Glossario riportato in calce.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Le Parti convengono quanto segue: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Trattamento dei dati nel rispetto delle istruzioni dell’Ente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relativamente a tutti i Dati personali che tratta per conto dell’Ente garantisce che: </w:t>
      </w:r>
    </w:p>
    <w:p>
      <w:pPr>
        <w:pStyle w:val="Normal"/>
        <w:numPr>
          <w:ilvl w:val="2"/>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tratta tali Dati personali solo ai fini dell’esecuzione dell’oggetto del contratto, e, successivamente, solo nel rispetto di quanto eventualmente concordato dalle Parti per iscritto, agendo pertanto, esclusivamente sulla base delle istruzioni documentate e fornite dall’Ente; </w:t>
      </w:r>
    </w:p>
    <w:p>
      <w:pPr>
        <w:pStyle w:val="Normal"/>
        <w:numPr>
          <w:ilvl w:val="2"/>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non trasferisce i Dati personali a soggetti terzi, se non nel rispetto delle condizioni di liceità assolte dall’Ente e a fronte di quanto disciplinato nel presente accordo; </w:t>
      </w:r>
    </w:p>
    <w:p>
      <w:pPr>
        <w:pStyle w:val="Normal"/>
        <w:numPr>
          <w:ilvl w:val="2"/>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non tratta o utilizza i Dati personali per finalità diverse da quelle per cui è conferito incarico dall’Ente, financo per trattamenti aventi finalità compatibili con quelle originarie; </w:t>
      </w:r>
    </w:p>
    <w:p>
      <w:pPr>
        <w:pStyle w:val="Normal"/>
        <w:numPr>
          <w:ilvl w:val="2"/>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prima di iniziare ogni trattamento e, ove occorra, in qualsiasi altro momento, informerà l’Ente se, a suo parere, una qualsiasi istruzione fornita dall’Ente si ponga in violazione di Normativa applicabile.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Al fine di dare seguito alle eventuali richieste da parte di soggetti interessati, il Responsabile del trattamento si obbliga ad adottare: </w:t>
      </w:r>
    </w:p>
    <w:p>
      <w:pPr>
        <w:pStyle w:val="Normal"/>
        <w:numPr>
          <w:ilvl w:val="2"/>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procedure idonee a garantire il rispetto dei diritti e delle richieste formulate all’Ente dagli interessati relativamente ai loro dati personali; </w:t>
      </w:r>
    </w:p>
    <w:p>
      <w:pPr>
        <w:pStyle w:val="Normal"/>
        <w:numPr>
          <w:ilvl w:val="2"/>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procedure atte a garantire l’aggiornamento, la modifica e la correzione, su richiesta dell’Ente dei dati personali di ogni interessato; </w:t>
      </w:r>
    </w:p>
    <w:p>
      <w:pPr>
        <w:pStyle w:val="Normal"/>
        <w:numPr>
          <w:ilvl w:val="2"/>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procedure atte a garantire la cancellazione o il blocco dell’accesso ai dati personali a richiesta dell’Ente; </w:t>
      </w:r>
    </w:p>
    <w:p>
      <w:pPr>
        <w:pStyle w:val="Normal"/>
        <w:numPr>
          <w:ilvl w:val="2"/>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procedure atte a garantire il diritto degli interessati alla limitazione di trattamento, su richiesta dell’Ente.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deve garantire e fornire all’Ente cooperazione, assistenza e le informazioni che potrebbero essere ragionevolmente richieste dallo stesso, per consentirle di adempiere ai propri obblighi ai sensi della normativa applicabile, ivi compresi i provvedimenti e le specifiche decisioni del Garante per la protezione dei dati personali.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anche nel rispetto di quanto previsto all’art. 30 del Regolamento, deve mantenere, compilare e rendere disponibile a richiesta dell’Ente, un registro dei trattamenti dati personali che riporti tutte le informazioni richieste dalla norma.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assicura la massima collaborazione al fine dell’esperimento delle valutazioni di impatto ex art. 35 del GDPR che l’Ente intenderà esperire sui trattamenti che rivelano, a Suo insindacabile giudizio, un rischio elevato per i diritti e le libertà delle persone fisiche.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Le misure di sicurezza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deve conservare i dati personali garantendo la separazione di tipo logico dai dati personali trattati per conto di terze parti o per proprio conto.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deve adottare e mantenere appropriate misure di sicurezza, sia tecniche che organizzative, per proteggere i dati personali da eventuali distruzioni o perdite di natura illecita o accidentale, danni, alterazioni, divulgazioni o accessi non autorizzati, ed in particolare, laddove il trattamento comporti trasmissioni di dati su una rete, da qualsiasi altra forma illecita di trattamento.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deve adottare misure tecniche ed organizzative adeguate per salvaguardare la sicurezza di qualsiasi rete di comunicazione elettronica o dei servizi forniti all’Ente, con  specifico riferimento alle misure intese a prevenire l'intercettazione di comunicazioni o l'accesso non autorizzato a qualsiasi computer o sistema.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Analisi dei rischi, privacy by design e privacy by default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Con riferimento agli esiti dell’analisi dei rischi effettuata dall’Ente sui trattamenti di dati personali cui concorre il Responsabile del trattamento, lo stesso assicura massima cooperazione e assistenza al fine di dare effettività alle azioni di mitigazione previste dall’Ente per affrontare eventuali rischi identificati.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dovrà consentire all’Ente, tenuto conto dello stato della tecnica, dei costi, della natura, dell’ambito e della finalità del relativo trattamento, di adottare, sia nella fase iniziale di determinazione dei mezzi di trattamento, che durante il trattamento stesso, ogni misura tecnica ed organizzativa che si riterrà opportuna per garantire ed attuare i principi previsti in materia di protezione dati e a tutelare i diritti degli interessati.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In linea con i principi di privacy by default, dovranno essere trattati, per impostazione predefinita, esclusivamente quei dati personali necessari per ogni specifica finalità del trattamento, e che in particolare non siano accessibili dati personali ad un numero indefinito di soggetti senza l’intervento di una persona fisica.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dà esecuzione al contratto in aderenza alle policy di privacy by design e by default adottate dall’Ente e specificatamente comunicate.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Soggetti autorizzati ad effettuare i trattamenti - Designazione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garantisce competenze ed affidabilità dei propri dipendenti e collaboratori autorizzati al trattamento dei dati personali (di seguito anche incaricati) effettuati per conto dell’Ente.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garantisce che gli incaricati abbiano ricevuto adeguata formazione in materia di protezione dei dati personali e sicurezza informatica.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con riferimento alla protezione e gestione dei dati personali, impone ai propri incaricati obblighi di riservatezza non meno onerosi di quelli previsti nella convenzione di cui il presente documento costituisce parte integrante. In ogni caso il Responsabile del trattamento è direttamente ritenuto responsabile per qualsiasi divulgazione di dati personali dovesse realizzarsi ad opera di tali soggetti.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Sub-Responsabili del trattamento di dati personali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Nell’ambito dell’esecuzione del contratto, il Responsabile del trattamento è autorizzato sin d’ora, alla designazione di altri responsabili del trattamento (d’ora in poi anche “sub-responsabili”), previa informazione dell’Ente ed imponendo agli stessi condizioni vincolanti in materia di trattamento dei dati personali non meno onerose di quelle contenute nel presente Accordo.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Su specifica richiesta dell’Ente, il Responsabile del trattamento dovrà provvedere a che ogni SubResponsabile sottoscriva direttamente con l’Ente un accordo di trattamento dei dati che, a meno di ulteriori e specifiche esigenze, preveda sostanzialmente gli stessi termini del presente Accordo.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In tutti i casi, il Responsabile del trattamento si assume la responsabilità nei confronti dell’Ente per qualsiasi violazione od omissione realizzati da un Sub-Responsabile o da altri terzi soggetti incaricati dallo stesso, indipendentemente dal fatto che il Responsabile del trattamento abbia o meno rispettato i propri obblighi contrattuali, ivi comprese le conseguenze patrimoniali derivanti da tali violazioni od omissioni.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Trattamento dei dati personali al di fuori dell’area economica europea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L’Ente non autorizza il trasferimento dei dati personali oggetto di trattamento al di fuori dell’Unione Europea.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Cancellazione dei dati personali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a richiesta del Titolare, provvede alla restituzione o cancellazione dei dati personali trattati per l’esecuzione del presente contratto al termine dell’affidamento o del periodo di conservazione e in qualsiasi circostanza in cui sia richiesto dall’Ente, compresa l’ipotesi in cui la stessa debba avvenire per dare seguito a specifica richiesta da parte di interessati </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 </w:t>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Audit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si rende disponibile a specifici audit in tema di privacy da parte dell’Ente.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L’esperimento di tali audit non deve avere ad oggetto dati di terze parti, informazioni sottoposte ad obblighi di riservatezza degli interessi commerciali.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Indagini dell’Autorità e reclami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Nei limiti della normativa applicabile, il Responsabile del trattamento o qualsiasi SubResponsabile informa senza alcun indugio l’Ente di qualsiasi a) richiesta o comunicazione promanante dal Garante per la protezione dei dati personali o da forze dell’ordine b) istanza ricevuta da soggetti interessati. Il Responsabile del trattamento fornisce, in esecuzione del contratto e, quindi, gratuitamente, tutta la dovuta assistenza all’Ente per garantire che la stessa possa rispondere a tali istanze o comunicazioni nei termini temporali previsti dalla normativa e dai regolamentari applicabili.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32"/>
        </w:numPr>
        <w:tabs>
          <w:tab w:val="left" w:pos="310" w:leader="none"/>
        </w:tabs>
        <w:jc w:val="both"/>
        <w:rPr>
          <w:rFonts w:ascii="Centaur" w:hAnsi="Centaur" w:cs="Centaur"/>
          <w:bCs/>
          <w:sz w:val="24"/>
          <w:szCs w:val="24"/>
        </w:rPr>
      </w:pPr>
      <w:r>
        <w:rPr>
          <w:rFonts w:cs="Centaur" w:ascii="Centaur" w:hAnsi="Centaur"/>
          <w:bCs/>
          <w:sz w:val="24"/>
          <w:szCs w:val="24"/>
        </w:rPr>
        <w:t xml:space="preserve">Violazione dei dati personali e obblighi di notifica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in virtù di quanto previsto dall’art. 33 del Regolamento, deve comunicare a mezzo di posta elettronica certificata all’Ente nel minor tempo possibile, e comunque non oltre 24 (ventiquattro) ore da quando ne abbia avuto notizia, qualsiasi violazione di sicurezza che abbia comportato accidentalmente o in modo illecito la distruzione, la perdita, la modifica, la divulgazione non autorizzata o l'accesso ai dati personali trasmessi, conservati o comunque trattati, ivi incluse quelle che abbiano riguardato i propri SubResponsabili. Tale comunicazione deve contenere ogni informazione utile alla gestione del data breach, oltre a a) descrivere la natura della violazione dei dati personali; b) le categorie e il numero approssimativo di interessati in questione nonché le categorie e il numero approssimativo di registrazioni dei dati personali in questione; c) i recapiti del DPO nominato o del soggetto competente alla gestione del data breach; d) la descrizione delle probabili conseguenze della violazione dei dati personali; e) una descrizione delle misure adottate o che si intende adottare per affrontare la Violazione della sicurezza, compreso, ove opportuno, misure per mitigare i suoi possibili effetti negativi.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deve fornire tutto il supporto necessario all’Ente ai fini delle indagini e sulle valutazioni in ordine alla violazione di dati, anche al fine di individuare, prevenire e limitare gli effetti negativi della stessa, conformemente ai suoi obblighi ai sensi del presente articolo e, previo accordo con l’Ente, per svolgere qualsiasi azione che si renda necessaria per porre rimedio alla violazione stessa. Il Responsabile del trattamento non deve rilasciare, né pubblicare alcun comunicato stampa o relazione riguardante eventuali data breach o violazioni di trattamento senza aver ottenuto il previo consenso scritto dell’Ente.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0"/>
          <w:numId w:val="32"/>
        </w:numPr>
        <w:tabs>
          <w:tab w:val="left" w:pos="310" w:leader="none"/>
        </w:tabs>
        <w:jc w:val="both"/>
        <w:rPr>
          <w:rFonts w:ascii="Centaur" w:hAnsi="Centaur" w:cs="Centaur"/>
          <w:bCs/>
          <w:sz w:val="24"/>
          <w:szCs w:val="24"/>
        </w:rPr>
      </w:pPr>
      <w:r>
        <w:rPr>
          <w:rFonts w:cs="Centaur" w:ascii="Centaur" w:hAnsi="Centaur"/>
          <w:bCs/>
          <w:sz w:val="24"/>
          <w:szCs w:val="24"/>
        </w:rPr>
        <w:t xml:space="preserve">Responsabilità e manleve </w:t>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Il Responsabile del trattamento tiene indenne e manleva l’Ente da ogni perdita, costo, sanzione, danno e da ogni responsabilità di qualsiasi natura derivante o in connessione con una qualsiasi violazione da parte del Responsabile del trattamento delle disposizioni contenute nel presente Accordo.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1"/>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A fronte della ricezione di un reclamo relativo alle attività oggetto del presente Accordo, il Responsabile del trattamento: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numPr>
          <w:ilvl w:val="2"/>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avverte, prontamente ed in forma scritta, l’Ente del Reclamo; </w:t>
      </w:r>
    </w:p>
    <w:p>
      <w:pPr>
        <w:pStyle w:val="Normal"/>
        <w:numPr>
          <w:ilvl w:val="2"/>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non fornisce dettagli al reclamante senza la preventiva interazione con l’Ente; </w:t>
      </w:r>
    </w:p>
    <w:p>
      <w:pPr>
        <w:pStyle w:val="Normal"/>
        <w:numPr>
          <w:ilvl w:val="2"/>
          <w:numId w:val="32"/>
        </w:numPr>
        <w:tabs>
          <w:tab w:val="left" w:pos="5103" w:leader="none"/>
        </w:tabs>
        <w:jc w:val="both"/>
        <w:rPr>
          <w:rFonts w:ascii="Centaur" w:hAnsi="Centaur" w:cs="Centaur"/>
          <w:bCs/>
          <w:sz w:val="24"/>
          <w:szCs w:val="24"/>
        </w:rPr>
      </w:pPr>
      <w:r>
        <w:rPr>
          <w:rFonts w:cs="Centaur" w:ascii="Centaur" w:hAnsi="Centaur"/>
          <w:bCs/>
          <w:sz w:val="24"/>
          <w:szCs w:val="24"/>
        </w:rPr>
        <w:t xml:space="preserve">non transige la controversia senza il previo consenso scritto dell’Ente; </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fornisce all’Ente tutta l'assistenza che potrebbe ragionevolmente richiedere nella gestione del reclamo.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GLOSSARIO </w:t>
      </w:r>
    </w:p>
    <w:p>
      <w:pPr>
        <w:pStyle w:val="Normal"/>
        <w:numPr>
          <w:ilvl w:val="3"/>
          <w:numId w:val="32"/>
        </w:numPr>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
          <w:bCs/>
          <w:sz w:val="24"/>
          <w:szCs w:val="24"/>
        </w:rPr>
        <w:t>Garante per la protezione dei dati personali</w:t>
      </w:r>
      <w:r>
        <w:rPr>
          <w:rFonts w:cs="Centaur" w:ascii="Centaur" w:hAnsi="Centaur"/>
          <w:bCs/>
          <w:sz w:val="24"/>
          <w:szCs w:val="24"/>
        </w:rPr>
        <w:t xml:space="preserve">”: è l’autorità di controllo responsabile per la protezione dei dati personali in Italia; </w:t>
      </w:r>
    </w:p>
    <w:p>
      <w:pPr>
        <w:pStyle w:val="Normal"/>
        <w:numPr>
          <w:ilvl w:val="3"/>
          <w:numId w:val="32"/>
        </w:numPr>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
          <w:bCs/>
          <w:sz w:val="24"/>
          <w:szCs w:val="24"/>
        </w:rPr>
        <w:t>Dati personali</w:t>
      </w:r>
      <w:r>
        <w:rPr>
          <w:rFonts w:cs="Centaur" w:ascii="Centaur" w:hAnsi="Centaur"/>
          <w:bCs/>
          <w:sz w:val="24"/>
          <w:szCs w:val="24"/>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pPr>
        <w:pStyle w:val="Normal"/>
        <w:numPr>
          <w:ilvl w:val="3"/>
          <w:numId w:val="32"/>
        </w:numPr>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
          <w:bCs/>
          <w:sz w:val="24"/>
          <w:szCs w:val="24"/>
        </w:rPr>
        <w:t>GDPR” o “Regolamento</w:t>
      </w:r>
      <w:r>
        <w:rPr>
          <w:rFonts w:cs="Centaur" w:ascii="Centaur" w:hAnsi="Centaur"/>
          <w:bCs/>
          <w:sz w:val="24"/>
          <w:szCs w:val="24"/>
        </w:rPr>
        <w:t xml:space="preserve">”: si intende il Regolamento UE 2016/679 sulla protezione delle persone fisiche relativamente al trattamento dei dati personali e della loro libera circolazione (General Data Protection Regulation), direttamente applicabile dal 25 maggio 2018; </w:t>
      </w:r>
    </w:p>
    <w:p>
      <w:pPr>
        <w:pStyle w:val="Normal"/>
        <w:numPr>
          <w:ilvl w:val="3"/>
          <w:numId w:val="32"/>
        </w:numPr>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
          <w:bCs/>
          <w:sz w:val="24"/>
          <w:szCs w:val="24"/>
        </w:rPr>
        <w:t>Normativa Applicabile</w:t>
      </w:r>
      <w:r>
        <w:rPr>
          <w:rFonts w:cs="Centaur" w:ascii="Centaur" w:hAnsi="Centaur"/>
          <w:bCs/>
          <w:sz w:val="24"/>
          <w:szCs w:val="24"/>
        </w:rPr>
        <w:t xml:space="preserve">”: si intende l’insieme delle norme rilevanti in materia protezione dei dati personali, incluso il Regolamento Privacy UE 2016/679 (GDPR) ed ogni provvedimento del Garante per la protezione dei dati personali e del WP Art. 29; </w:t>
      </w:r>
    </w:p>
    <w:p>
      <w:pPr>
        <w:pStyle w:val="Normal"/>
        <w:numPr>
          <w:ilvl w:val="3"/>
          <w:numId w:val="32"/>
        </w:numPr>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
          <w:bCs/>
          <w:sz w:val="24"/>
          <w:szCs w:val="24"/>
        </w:rPr>
        <w:t>Appendice Security</w:t>
      </w:r>
      <w:r>
        <w:rPr>
          <w:rFonts w:cs="Centaur" w:ascii="Centaur" w:hAnsi="Centaur"/>
          <w:bCs/>
          <w:sz w:val="24"/>
          <w:szCs w:val="24"/>
        </w:rPr>
        <w:t xml:space="preserve">”: consiste nelle misure di sicurezza che il Titolare determina assicurando un livello minimo di sicurezza, e che possono essere aggiornate ed implementate dal Titolare, di volta in volta, in conformità alle previsioni del presente Accordo; </w:t>
      </w:r>
    </w:p>
    <w:p>
      <w:pPr>
        <w:pStyle w:val="Normal"/>
        <w:numPr>
          <w:ilvl w:val="3"/>
          <w:numId w:val="32"/>
        </w:numPr>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
          <w:bCs/>
          <w:sz w:val="24"/>
          <w:szCs w:val="24"/>
        </w:rPr>
        <w:t>Reclamo</w:t>
      </w:r>
      <w:r>
        <w:rPr>
          <w:rFonts w:cs="Centaur" w:ascii="Centaur" w:hAnsi="Centaur"/>
          <w:bCs/>
          <w:sz w:val="24"/>
          <w:szCs w:val="24"/>
        </w:rPr>
        <w:t xml:space="preserve">”: si intende ogni azione, reclamo, segnalazione presentata nei confronti del Titolare o di un Suo Responsabile del trattamento; </w:t>
      </w:r>
    </w:p>
    <w:p>
      <w:pPr>
        <w:pStyle w:val="Normal"/>
        <w:numPr>
          <w:ilvl w:val="3"/>
          <w:numId w:val="32"/>
        </w:numPr>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
          <w:bCs/>
          <w:sz w:val="24"/>
          <w:szCs w:val="24"/>
        </w:rPr>
        <w:t>Titolare del Trattamento</w:t>
      </w:r>
      <w:r>
        <w:rPr>
          <w:rFonts w:cs="Centaur" w:ascii="Centaur" w:hAnsi="Centaur"/>
          <w:bCs/>
          <w:sz w:val="24"/>
          <w:szCs w:val="24"/>
        </w:rPr>
        <w:t xml:space="preserve">”: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w:t>
      </w:r>
    </w:p>
    <w:p>
      <w:pPr>
        <w:pStyle w:val="Normal"/>
        <w:numPr>
          <w:ilvl w:val="3"/>
          <w:numId w:val="32"/>
        </w:numPr>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
          <w:bCs/>
          <w:sz w:val="24"/>
          <w:szCs w:val="24"/>
        </w:rPr>
        <w:t>Trattamento</w:t>
      </w:r>
      <w:r>
        <w:rPr>
          <w:rFonts w:cs="Centaur" w:ascii="Centaur" w:hAnsi="Centaur"/>
          <w:bCs/>
          <w:sz w:val="24"/>
          <w:szCs w:val="24"/>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pPr>
        <w:pStyle w:val="Normal"/>
        <w:numPr>
          <w:ilvl w:val="3"/>
          <w:numId w:val="32"/>
        </w:numPr>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
          <w:bCs/>
          <w:sz w:val="24"/>
          <w:szCs w:val="24"/>
        </w:rPr>
        <w:t>Responsabile del trattamento</w:t>
      </w:r>
      <w:r>
        <w:rPr>
          <w:rFonts w:cs="Centaur" w:ascii="Centaur" w:hAnsi="Centaur"/>
          <w:bCs/>
          <w:sz w:val="24"/>
          <w:szCs w:val="24"/>
        </w:rPr>
        <w:t xml:space="preserve">”: la persona fisica o giuridica, l'autorità pubblica, il servizio o altro organismo che tratta dati personali per conto del titolare del trattamento; </w:t>
      </w:r>
    </w:p>
    <w:p>
      <w:pPr>
        <w:pStyle w:val="Normal"/>
        <w:numPr>
          <w:ilvl w:val="3"/>
          <w:numId w:val="32"/>
        </w:numPr>
        <w:tabs>
          <w:tab w:val="left" w:pos="5103" w:leader="none"/>
        </w:tabs>
        <w:jc w:val="both"/>
        <w:rPr>
          <w:rFonts w:ascii="Centaur" w:hAnsi="Centaur" w:cs="Centaur"/>
          <w:bCs/>
          <w:sz w:val="24"/>
          <w:szCs w:val="24"/>
        </w:rPr>
      </w:pPr>
      <w:r>
        <w:rPr>
          <w:rFonts w:cs="Centaur" w:ascii="Centaur" w:hAnsi="Centaur"/>
          <w:bCs/>
          <w:sz w:val="24"/>
          <w:szCs w:val="24"/>
        </w:rPr>
        <w:t>“</w:t>
      </w:r>
      <w:r>
        <w:rPr>
          <w:rFonts w:cs="Centaur" w:ascii="Centaur" w:hAnsi="Centaur"/>
          <w:b/>
          <w:bCs/>
          <w:sz w:val="24"/>
          <w:szCs w:val="24"/>
        </w:rPr>
        <w:t>Pseudonimizzazione</w:t>
      </w:r>
      <w:r>
        <w:rPr>
          <w:rFonts w:cs="Centaur" w:ascii="Centaur" w:hAnsi="Centaur"/>
          <w:bCs/>
          <w:sz w:val="24"/>
          <w:szCs w:val="24"/>
        </w:rPr>
        <w:t xml:space="preserve">”: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Letto, confermato e sottoscritto …………………..,  li </w:t>
        <w:tab/>
        <w:t xml:space="preserve"> </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Per il Comune di …………………….. Il Dirigente  </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 </w:t>
      </w:r>
    </w:p>
    <w:p>
      <w:pPr>
        <w:pStyle w:val="Normal"/>
        <w:tabs>
          <w:tab w:val="left" w:pos="5103" w:leader="none"/>
        </w:tabs>
        <w:jc w:val="both"/>
        <w:rPr>
          <w:rFonts w:ascii="Centaur" w:hAnsi="Centaur" w:cs="Centaur"/>
          <w:bCs/>
          <w:sz w:val="24"/>
          <w:szCs w:val="24"/>
        </w:rPr>
      </w:pPr>
      <w:r>
        <w:rPr>
          <w:rFonts w:cs="Centaur" w:ascii="Centaur" w:hAnsi="Centaur"/>
          <w:bCs/>
          <w:sz w:val="24"/>
          <w:szCs w:val="24"/>
        </w:rPr>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Per l’Ente Attuatore Partner il Legale rappresentante </w:t>
      </w:r>
    </w:p>
    <w:p>
      <w:pPr>
        <w:pStyle w:val="Normal"/>
        <w:tabs>
          <w:tab w:val="left" w:pos="5103" w:leader="none"/>
        </w:tabs>
        <w:jc w:val="both"/>
        <w:rPr>
          <w:rFonts w:ascii="Centaur" w:hAnsi="Centaur" w:cs="Centaur"/>
          <w:bCs/>
          <w:sz w:val="24"/>
          <w:szCs w:val="24"/>
        </w:rPr>
      </w:pPr>
      <w:r>
        <w:rPr>
          <w:rFonts w:cs="Centaur" w:ascii="Centaur" w:hAnsi="Centaur"/>
          <w:bCs/>
          <w:sz w:val="24"/>
          <w:szCs w:val="24"/>
        </w:rPr>
        <w:t xml:space="preserve">«…………………………………………     »     …………………………………………………….. </w:t>
      </w:r>
    </w:p>
    <w:p>
      <w:pPr>
        <w:pStyle w:val="Normal"/>
        <w:tabs>
          <w:tab w:val="left" w:pos="5103" w:leader="none"/>
        </w:tabs>
        <w:jc w:val="both"/>
        <w:rPr/>
      </w:pPr>
      <w:r>
        <w:rPr/>
      </w:r>
    </w:p>
    <w:sectPr>
      <w:headerReference w:type="default" r:id="rId4"/>
      <w:footerReference w:type="default" r:id="rId5"/>
      <w:type w:val="nextPage"/>
      <w:pgSz w:w="11906" w:h="16838"/>
      <w:pgMar w:left="1134" w:right="1106" w:header="568" w:top="1974" w:footer="0" w:bottom="172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mazone BT">
    <w:charset w:val="00"/>
    <w:family w:val="roman"/>
    <w:pitch w:val="variable"/>
  </w:font>
  <w:font w:name="Palace Script MT">
    <w:charset w:val="00"/>
    <w:family w:val="roman"/>
    <w:pitch w:val="variable"/>
  </w:font>
  <w:font w:name="Centaur">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Times New Roman">
    <w:charset w:val="01"/>
    <w:family w:val="roman"/>
    <w:pitch w:val="variable"/>
  </w:font>
  <w:font w:name="Arial MT">
    <w:charset w:val="01"/>
    <w:family w:val="auto"/>
    <w:pitch w:val="default"/>
  </w:font>
  <w:font w:name="Symbol">
    <w:charset w:val="02"/>
    <w:family w:val="auto"/>
    <w:pitch w:val="default"/>
  </w:font>
  <w:font w:name="Microsoft Sans Serif">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729" w:type="dxa"/>
      <w:jc w:val="left"/>
      <w:tblInd w:w="-285" w:type="dxa"/>
      <w:tblBorders>
        <w:left w:val="single" w:sz="2" w:space="0" w:color="000001"/>
      </w:tblBorders>
      <w:tblCellMar>
        <w:top w:w="55" w:type="dxa"/>
        <w:left w:w="54" w:type="dxa"/>
        <w:bottom w:w="55" w:type="dxa"/>
        <w:right w:w="55" w:type="dxa"/>
      </w:tblCellMar>
      <w:tblLook w:firstRow="0" w:noVBand="0" w:lastRow="0" w:firstColumn="0" w:lastColumn="0" w:noHBand="0" w:val="0000"/>
    </w:tblPr>
    <w:tblGrid>
      <w:gridCol w:w="6286"/>
      <w:gridCol w:w="4442"/>
    </w:tblGrid>
    <w:tr>
      <w:trPr>
        <w:trHeight w:val="1025" w:hRule="atLeast"/>
      </w:trPr>
      <w:tc>
        <w:tcPr>
          <w:tcW w:w="6286" w:type="dxa"/>
          <w:tcBorders>
            <w:left w:val="single" w:sz="2" w:space="0" w:color="000001"/>
          </w:tcBorders>
          <w:shd w:fill="auto" w:val="clear"/>
          <w:tcMar>
            <w:left w:w="54" w:type="dxa"/>
          </w:tcMar>
        </w:tcPr>
        <w:p>
          <w:pPr>
            <w:pStyle w:val="Contenutotabella"/>
            <w:snapToGrid w:val="false"/>
            <w:rPr>
              <w:rFonts w:ascii="Centaur" w:hAnsi="Centaur"/>
              <w:b/>
              <w:b/>
              <w:bCs/>
              <w:sz w:val="18"/>
              <w:szCs w:val="18"/>
            </w:rPr>
          </w:pPr>
          <w:r>
            <w:rPr>
              <w:rFonts w:ascii="Centaur" w:hAnsi="Centaur"/>
              <w:b/>
              <w:bCs/>
              <w:sz w:val="18"/>
              <w:szCs w:val="18"/>
            </w:rPr>
            <w:t xml:space="preserve">UFFICIO DISTRETTUALE DI PIANO DSS N. 50 </w:t>
          </w:r>
        </w:p>
        <w:p>
          <w:pPr>
            <w:pStyle w:val="Contenutotabella"/>
            <w:rPr>
              <w:rFonts w:ascii="Centaur" w:hAnsi="Centaur"/>
              <w:b/>
              <w:b/>
              <w:bCs/>
              <w:sz w:val="18"/>
              <w:szCs w:val="18"/>
            </w:rPr>
          </w:pPr>
          <w:r>
            <w:rPr>
              <w:rFonts w:ascii="Centaur" w:hAnsi="Centaur"/>
              <w:b/>
              <w:bCs/>
              <w:sz w:val="18"/>
              <w:szCs w:val="18"/>
            </w:rPr>
            <w:t>Servizio 4 - Distretto Socio Sanitario n.50</w:t>
          </w:r>
        </w:p>
        <w:p>
          <w:pPr>
            <w:pStyle w:val="Contenutotabella"/>
            <w:rPr>
              <w:rFonts w:ascii="Centaur" w:hAnsi="Centaur"/>
              <w:sz w:val="18"/>
              <w:szCs w:val="18"/>
            </w:rPr>
          </w:pPr>
          <w:r>
            <w:rPr>
              <w:rFonts w:ascii="Centaur" w:hAnsi="Centaur"/>
              <w:sz w:val="18"/>
              <w:szCs w:val="18"/>
            </w:rPr>
            <w:t>Sede: P.zza Municipio, 1</w:t>
          </w:r>
        </w:p>
        <w:p>
          <w:pPr>
            <w:pStyle w:val="Contenutotabella"/>
            <w:rPr>
              <w:rFonts w:ascii="Centaur" w:hAnsi="Centaur"/>
              <w:sz w:val="18"/>
              <w:szCs w:val="18"/>
            </w:rPr>
          </w:pPr>
          <w:r>
            <w:rPr>
              <w:rFonts w:ascii="Centaur" w:hAnsi="Centaur"/>
              <w:sz w:val="18"/>
              <w:szCs w:val="18"/>
            </w:rPr>
            <w:t>91100 TRAPANI</w:t>
          </w:r>
        </w:p>
      </w:tc>
      <w:tc>
        <w:tcPr>
          <w:tcW w:w="4442" w:type="dxa"/>
          <w:tcBorders>
            <w:left w:val="single" w:sz="2" w:space="0" w:color="000001"/>
          </w:tcBorders>
          <w:shd w:fill="auto" w:val="clear"/>
          <w:tcMar>
            <w:left w:w="54" w:type="dxa"/>
          </w:tcMar>
        </w:tcPr>
        <w:p>
          <w:pPr>
            <w:pStyle w:val="Contenutotabella"/>
            <w:snapToGrid w:val="false"/>
            <w:rPr>
              <w:rFonts w:ascii="Centaur" w:hAnsi="Centaur"/>
              <w:sz w:val="18"/>
              <w:szCs w:val="18"/>
            </w:rPr>
          </w:pPr>
          <w:r>
            <w:rPr>
              <w:rFonts w:ascii="Centaur" w:hAnsi="Centaur"/>
              <w:b/>
              <w:bCs/>
              <w:sz w:val="18"/>
              <w:szCs w:val="18"/>
            </w:rPr>
            <w:t xml:space="preserve">Sito internet: </w:t>
          </w:r>
          <w:r>
            <w:rPr>
              <w:rFonts w:ascii="Centaur" w:hAnsi="Centaur"/>
              <w:sz w:val="18"/>
              <w:szCs w:val="18"/>
            </w:rPr>
            <w:t>www.comune.trapani.it</w:t>
          </w:r>
        </w:p>
        <w:p>
          <w:pPr>
            <w:pStyle w:val="Contenutotabella"/>
            <w:rPr/>
          </w:pPr>
          <w:r>
            <w:rPr>
              <w:rFonts w:ascii="Centaur" w:hAnsi="Centaur"/>
              <w:sz w:val="18"/>
              <w:szCs w:val="18"/>
            </w:rPr>
            <w:t xml:space="preserve">e-mail:  </w:t>
          </w:r>
          <w:hyperlink r:id="rId1">
            <w:r>
              <w:rPr>
                <w:rStyle w:val="CollegamentoInternet"/>
                <w:rFonts w:ascii="Centaur" w:hAnsi="Centaur"/>
                <w:sz w:val="18"/>
                <w:szCs w:val="18"/>
              </w:rPr>
              <w:t>distrettosociosanitario50@comune.trapani.it</w:t>
            </w:r>
          </w:hyperlink>
          <w:r>
            <w:rPr>
              <w:rFonts w:ascii="Centaur" w:hAnsi="Centaur"/>
              <w:sz w:val="18"/>
              <w:szCs w:val="18"/>
            </w:rPr>
            <w:t xml:space="preserve"> </w:t>
          </w:r>
        </w:p>
        <w:p>
          <w:pPr>
            <w:pStyle w:val="Contenutotabella"/>
            <w:rPr/>
          </w:pPr>
          <w:r>
            <w:rPr>
              <w:rFonts w:ascii="Centaur" w:hAnsi="Centaur"/>
              <w:sz w:val="18"/>
              <w:szCs w:val="18"/>
              <w:lang w:val="en-US"/>
            </w:rPr>
            <w:t xml:space="preserve">pec: </w:t>
          </w:r>
          <w:hyperlink r:id="rId2">
            <w:r>
              <w:rPr>
                <w:rStyle w:val="CollegamentoInternet"/>
                <w:rFonts w:ascii="Centaur" w:hAnsi="Centaur"/>
                <w:sz w:val="18"/>
                <w:szCs w:val="18"/>
                <w:lang w:val="en-US"/>
              </w:rPr>
              <w:t>distrettosociosanitario50@pec.comune.trapani.it</w:t>
            </w:r>
          </w:hyperlink>
          <w:r>
            <w:rPr>
              <w:rFonts w:ascii="Centaur" w:hAnsi="Centaur"/>
              <w:sz w:val="18"/>
              <w:szCs w:val="18"/>
              <w:lang w:val="en-US"/>
            </w:rPr>
            <w:t xml:space="preserve"> </w:t>
          </w:r>
        </w:p>
        <w:p>
          <w:pPr>
            <w:pStyle w:val="Contenutotabella"/>
            <w:rPr>
              <w:rFonts w:ascii="Centaur" w:hAnsi="Centaur"/>
              <w:sz w:val="18"/>
              <w:szCs w:val="18"/>
              <w:lang w:val="en-US"/>
            </w:rPr>
          </w:pPr>
          <w:r>
            <w:rPr>
              <w:rFonts w:ascii="Centaur" w:hAnsi="Centaur"/>
              <w:sz w:val="18"/>
              <w:szCs w:val="18"/>
              <w:lang w:val="en-US"/>
            </w:rPr>
            <w:t xml:space="preserve">Tel. 0923.590111 </w:t>
          </w:r>
        </w:p>
      </w:tc>
    </w:tr>
  </w:tbl>
  <w:p>
    <w:pPr>
      <w:pStyle w:val="Pidipagina"/>
      <w:jc w:val="center"/>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4445" distL="0" distR="8890">
          <wp:extent cx="1591310" cy="71945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591310" cy="719455"/>
                  </a:xfrm>
                  <a:prstGeom prst="rect">
                    <a:avLst/>
                  </a:prstGeom>
                </pic:spPr>
              </pic:pic>
            </a:graphicData>
          </a:graphic>
        </wp:inline>
      </w:drawing>
    </w:r>
    <w:r>
      <w:rPr/>
      <w:drawing>
        <wp:inline distT="0" distB="0" distL="0" distR="5080">
          <wp:extent cx="737870" cy="725170"/>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2"/>
                  <a:stretch>
                    <a:fillRect/>
                  </a:stretch>
                </pic:blipFill>
                <pic:spPr bwMode="auto">
                  <a:xfrm>
                    <a:off x="0" y="0"/>
                    <a:ext cx="737870" cy="725170"/>
                  </a:xfrm>
                  <a:prstGeom prst="rect">
                    <a:avLst/>
                  </a:prstGeom>
                </pic:spPr>
              </pic:pic>
            </a:graphicData>
          </a:graphic>
        </wp:inline>
      </w:drawing>
    </w:r>
    <w:r>
      <w:rPr/>
      <w:drawing>
        <wp:inline distT="0" distB="0" distL="0" distR="0">
          <wp:extent cx="1091565" cy="572770"/>
          <wp:effectExtent l="0" t="0" r="0" b="0"/>
          <wp:docPr id="3"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
                  <pic:cNvPicPr>
                    <a:picLocks noChangeAspect="1" noChangeArrowheads="1"/>
                  </pic:cNvPicPr>
                </pic:nvPicPr>
                <pic:blipFill>
                  <a:blip r:embed="rId3"/>
                  <a:stretch>
                    <a:fillRect/>
                  </a:stretch>
                </pic:blipFill>
                <pic:spPr bwMode="auto">
                  <a:xfrm>
                    <a:off x="0" y="0"/>
                    <a:ext cx="1091565" cy="572770"/>
                  </a:xfrm>
                  <a:prstGeom prst="rect">
                    <a:avLst/>
                  </a:prstGeom>
                </pic:spPr>
              </pic:pic>
            </a:graphicData>
          </a:graphic>
        </wp:inline>
      </w:drawing>
    </w:r>
    <w:r>
      <w:rPr/>
      <w:drawing>
        <wp:inline distT="0" distB="3810" distL="0" distR="0">
          <wp:extent cx="1036320" cy="548640"/>
          <wp:effectExtent l="0" t="0" r="0" b="0"/>
          <wp:docPr id="4"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
                  <pic:cNvPicPr>
                    <a:picLocks noChangeAspect="1" noChangeArrowheads="1"/>
                  </pic:cNvPicPr>
                </pic:nvPicPr>
                <pic:blipFill>
                  <a:blip r:embed="rId4"/>
                  <a:stretch>
                    <a:fillRect/>
                  </a:stretch>
                </pic:blipFill>
                <pic:spPr bwMode="auto">
                  <a:xfrm>
                    <a:off x="0" y="0"/>
                    <a:ext cx="1036320" cy="548640"/>
                  </a:xfrm>
                  <a:prstGeom prst="rect">
                    <a:avLst/>
                  </a:prstGeom>
                </pic:spPr>
              </pic:pic>
            </a:graphicData>
          </a:graphic>
        </wp:inline>
      </w:drawing>
    </w:r>
    <w:r>
      <w:rPr/>
      <w:drawing>
        <wp:inline distT="0" distB="0" distL="0" distR="0">
          <wp:extent cx="1487805" cy="743585"/>
          <wp:effectExtent l="0" t="0" r="0" b="0"/>
          <wp:docPr id="5"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
                  <pic:cNvPicPr>
                    <a:picLocks noChangeAspect="1" noChangeArrowheads="1"/>
                  </pic:cNvPicPr>
                </pic:nvPicPr>
                <pic:blipFill>
                  <a:blip r:embed="rId5"/>
                  <a:stretch>
                    <a:fillRect/>
                  </a:stretch>
                </pic:blipFill>
                <pic:spPr bwMode="auto">
                  <a:xfrm>
                    <a:off x="0" y="0"/>
                    <a:ext cx="1487805" cy="74358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4445" distL="0" distR="8890">
          <wp:extent cx="1591310" cy="719455"/>
          <wp:effectExtent l="0" t="0" r="0" b="0"/>
          <wp:docPr id="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descr=""/>
                  <pic:cNvPicPr>
                    <a:picLocks noChangeAspect="1" noChangeArrowheads="1"/>
                  </pic:cNvPicPr>
                </pic:nvPicPr>
                <pic:blipFill>
                  <a:blip r:embed="rId1"/>
                  <a:stretch>
                    <a:fillRect/>
                  </a:stretch>
                </pic:blipFill>
                <pic:spPr bwMode="auto">
                  <a:xfrm>
                    <a:off x="0" y="0"/>
                    <a:ext cx="1591310" cy="719455"/>
                  </a:xfrm>
                  <a:prstGeom prst="rect">
                    <a:avLst/>
                  </a:prstGeom>
                </pic:spPr>
              </pic:pic>
            </a:graphicData>
          </a:graphic>
        </wp:inline>
      </w:drawing>
    </w:r>
    <w:r>
      <w:rPr/>
      <w:drawing>
        <wp:inline distT="0" distB="0" distL="0" distR="5080">
          <wp:extent cx="737870" cy="725170"/>
          <wp:effectExtent l="0" t="0" r="0" b="0"/>
          <wp:docPr id="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descr=""/>
                  <pic:cNvPicPr>
                    <a:picLocks noChangeAspect="1" noChangeArrowheads="1"/>
                  </pic:cNvPicPr>
                </pic:nvPicPr>
                <pic:blipFill>
                  <a:blip r:embed="rId2"/>
                  <a:stretch>
                    <a:fillRect/>
                  </a:stretch>
                </pic:blipFill>
                <pic:spPr bwMode="auto">
                  <a:xfrm>
                    <a:off x="0" y="0"/>
                    <a:ext cx="737870" cy="725170"/>
                  </a:xfrm>
                  <a:prstGeom prst="rect">
                    <a:avLst/>
                  </a:prstGeom>
                </pic:spPr>
              </pic:pic>
            </a:graphicData>
          </a:graphic>
        </wp:inline>
      </w:drawing>
    </w:r>
    <w:r>
      <w:rPr/>
      <w:drawing>
        <wp:inline distT="0" distB="0" distL="0" distR="0">
          <wp:extent cx="1091565" cy="572770"/>
          <wp:effectExtent l="0" t="0" r="0" b="0"/>
          <wp:docPr id="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descr=""/>
                  <pic:cNvPicPr>
                    <a:picLocks noChangeAspect="1" noChangeArrowheads="1"/>
                  </pic:cNvPicPr>
                </pic:nvPicPr>
                <pic:blipFill>
                  <a:blip r:embed="rId3"/>
                  <a:stretch>
                    <a:fillRect/>
                  </a:stretch>
                </pic:blipFill>
                <pic:spPr bwMode="auto">
                  <a:xfrm>
                    <a:off x="0" y="0"/>
                    <a:ext cx="1091565" cy="572770"/>
                  </a:xfrm>
                  <a:prstGeom prst="rect">
                    <a:avLst/>
                  </a:prstGeom>
                </pic:spPr>
              </pic:pic>
            </a:graphicData>
          </a:graphic>
        </wp:inline>
      </w:drawing>
    </w:r>
    <w:r>
      <w:rPr/>
      <w:drawing>
        <wp:inline distT="0" distB="3810" distL="0" distR="0">
          <wp:extent cx="1036320" cy="548640"/>
          <wp:effectExtent l="0" t="0" r="0" b="0"/>
          <wp:docPr id="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descr=""/>
                  <pic:cNvPicPr>
                    <a:picLocks noChangeAspect="1" noChangeArrowheads="1"/>
                  </pic:cNvPicPr>
                </pic:nvPicPr>
                <pic:blipFill>
                  <a:blip r:embed="rId4"/>
                  <a:stretch>
                    <a:fillRect/>
                  </a:stretch>
                </pic:blipFill>
                <pic:spPr bwMode="auto">
                  <a:xfrm>
                    <a:off x="0" y="0"/>
                    <a:ext cx="1036320" cy="548640"/>
                  </a:xfrm>
                  <a:prstGeom prst="rect">
                    <a:avLst/>
                  </a:prstGeom>
                </pic:spPr>
              </pic:pic>
            </a:graphicData>
          </a:graphic>
        </wp:inline>
      </w:drawing>
    </w:r>
    <w:r>
      <w:rPr/>
      <w:drawing>
        <wp:inline distT="0" distB="0" distL="0" distR="0">
          <wp:extent cx="1487805" cy="743585"/>
          <wp:effectExtent l="0" t="0" r="0" b="0"/>
          <wp:docPr id="1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descr=""/>
                  <pic:cNvPicPr>
                    <a:picLocks noChangeAspect="1" noChangeArrowheads="1"/>
                  </pic:cNvPicPr>
                </pic:nvPicPr>
                <pic:blipFill>
                  <a:blip r:embed="rId5"/>
                  <a:stretch>
                    <a:fillRect/>
                  </a:stretch>
                </pic:blipFill>
                <pic:spPr bwMode="auto">
                  <a:xfrm>
                    <a:off x="0" y="0"/>
                    <a:ext cx="1487805" cy="74358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left" w:pos="3540" w:leader="none"/>
        <w:tab w:val="right" w:pos="3780" w:leader="none"/>
        <w:tab w:val="center" w:pos="4393" w:leader="none"/>
        <w:tab w:val="center" w:pos="4819" w:leader="none"/>
        <w:tab w:val="right" w:pos="9638" w:leader="none"/>
      </w:tabs>
      <w:spacing w:before="0" w:after="480"/>
      <w:ind w:right="-57" w:hanging="0"/>
      <w:jc w:val="right"/>
      <w:rPr>
        <w:bCs/>
        <w:sz w:val="15"/>
        <w:szCs w:val="15"/>
      </w:rPr>
    </w:pPr>
    <w:r>
      <w:rPr>
        <w:bCs/>
        <w:sz w:val="15"/>
        <w:szCs w:val="15"/>
      </w:rPr>
      <w:drawing>
        <wp:anchor behindDoc="1" distT="0" distB="4445" distL="114300" distR="114300" simplePos="0" locked="0" layoutInCell="1" allowOverlap="1" relativeHeight="7">
          <wp:simplePos x="0" y="0"/>
          <wp:positionH relativeFrom="column">
            <wp:posOffset>-213360</wp:posOffset>
          </wp:positionH>
          <wp:positionV relativeFrom="paragraph">
            <wp:posOffset>51435</wp:posOffset>
          </wp:positionV>
          <wp:extent cx="1590040" cy="719455"/>
          <wp:effectExtent l="0" t="0" r="0" b="0"/>
          <wp:wrapSquare wrapText="bothSides"/>
          <wp:docPr id="11" name="Immagin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0" descr=""/>
                  <pic:cNvPicPr>
                    <a:picLocks noChangeAspect="1" noChangeArrowheads="1"/>
                  </pic:cNvPicPr>
                </pic:nvPicPr>
                <pic:blipFill>
                  <a:blip r:embed="rId1"/>
                  <a:stretch>
                    <a:fillRect/>
                  </a:stretch>
                </pic:blipFill>
                <pic:spPr bwMode="auto">
                  <a:xfrm>
                    <a:off x="0" y="0"/>
                    <a:ext cx="1590040" cy="719455"/>
                  </a:xfrm>
                  <a:prstGeom prst="rect">
                    <a:avLst/>
                  </a:prstGeom>
                </pic:spPr>
              </pic:pic>
            </a:graphicData>
          </a:graphic>
        </wp:anchor>
      </w:drawing>
      <w:drawing>
        <wp:anchor behindDoc="1" distT="0" distB="635" distL="114300" distR="114300" simplePos="0" locked="0" layoutInCell="1" allowOverlap="1" relativeHeight="13">
          <wp:simplePos x="0" y="0"/>
          <wp:positionH relativeFrom="column">
            <wp:posOffset>4617085</wp:posOffset>
          </wp:positionH>
          <wp:positionV relativeFrom="paragraph">
            <wp:posOffset>56515</wp:posOffset>
          </wp:positionV>
          <wp:extent cx="1490345" cy="742315"/>
          <wp:effectExtent l="0" t="0" r="0" b="0"/>
          <wp:wrapSquare wrapText="bothSides"/>
          <wp:docPr id="12" name="Immagin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9" descr=""/>
                  <pic:cNvPicPr>
                    <a:picLocks noChangeAspect="1" noChangeArrowheads="1"/>
                  </pic:cNvPicPr>
                </pic:nvPicPr>
                <pic:blipFill>
                  <a:blip r:embed="rId2"/>
                  <a:stretch>
                    <a:fillRect/>
                  </a:stretch>
                </pic:blipFill>
                <pic:spPr bwMode="auto">
                  <a:xfrm>
                    <a:off x="0" y="0"/>
                    <a:ext cx="1490345" cy="742315"/>
                  </a:xfrm>
                  <a:prstGeom prst="rect">
                    <a:avLst/>
                  </a:prstGeom>
                </pic:spPr>
              </pic:pic>
            </a:graphicData>
          </a:graphic>
        </wp:anchor>
      </w:drawing>
      <w:drawing>
        <wp:anchor behindDoc="1" distT="0" distB="3175" distL="114300" distR="114300" simplePos="0" locked="0" layoutInCell="1" allowOverlap="1" relativeHeight="19">
          <wp:simplePos x="0" y="0"/>
          <wp:positionH relativeFrom="column">
            <wp:posOffset>3583305</wp:posOffset>
          </wp:positionH>
          <wp:positionV relativeFrom="paragraph">
            <wp:posOffset>146050</wp:posOffset>
          </wp:positionV>
          <wp:extent cx="1035050" cy="549275"/>
          <wp:effectExtent l="0" t="0" r="0" b="0"/>
          <wp:wrapSquare wrapText="bothSides"/>
          <wp:docPr id="13" name="Immagin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8" descr=""/>
                  <pic:cNvPicPr>
                    <a:picLocks noChangeAspect="1" noChangeArrowheads="1"/>
                  </pic:cNvPicPr>
                </pic:nvPicPr>
                <pic:blipFill>
                  <a:blip r:embed="rId3"/>
                  <a:stretch>
                    <a:fillRect/>
                  </a:stretch>
                </pic:blipFill>
                <pic:spPr bwMode="auto">
                  <a:xfrm>
                    <a:off x="0" y="0"/>
                    <a:ext cx="1035050" cy="549275"/>
                  </a:xfrm>
                  <a:prstGeom prst="rect">
                    <a:avLst/>
                  </a:prstGeom>
                </pic:spPr>
              </pic:pic>
            </a:graphicData>
          </a:graphic>
        </wp:anchor>
      </w:drawing>
      <w:drawing>
        <wp:anchor behindDoc="1" distT="0" distB="0" distL="114300" distR="114300" simplePos="0" locked="0" layoutInCell="1" allowOverlap="1" relativeHeight="25">
          <wp:simplePos x="0" y="0"/>
          <wp:positionH relativeFrom="column">
            <wp:posOffset>2430145</wp:posOffset>
          </wp:positionH>
          <wp:positionV relativeFrom="paragraph">
            <wp:posOffset>146050</wp:posOffset>
          </wp:positionV>
          <wp:extent cx="1091565" cy="574040"/>
          <wp:effectExtent l="0" t="0" r="0" b="0"/>
          <wp:wrapSquare wrapText="bothSides"/>
          <wp:docPr id="14" name="Immagin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7" descr=""/>
                  <pic:cNvPicPr>
                    <a:picLocks noChangeAspect="1" noChangeArrowheads="1"/>
                  </pic:cNvPicPr>
                </pic:nvPicPr>
                <pic:blipFill>
                  <a:blip r:embed="rId4"/>
                  <a:stretch>
                    <a:fillRect/>
                  </a:stretch>
                </pic:blipFill>
                <pic:spPr bwMode="auto">
                  <a:xfrm>
                    <a:off x="0" y="0"/>
                    <a:ext cx="1091565" cy="574040"/>
                  </a:xfrm>
                  <a:prstGeom prst="rect">
                    <a:avLst/>
                  </a:prstGeom>
                </pic:spPr>
              </pic:pic>
            </a:graphicData>
          </a:graphic>
        </wp:anchor>
      </w:drawing>
      <w:drawing>
        <wp:anchor behindDoc="1" distT="0" distB="1905" distL="114300" distR="114935" simplePos="0" locked="0" layoutInCell="1" allowOverlap="1" relativeHeight="31">
          <wp:simplePos x="0" y="0"/>
          <wp:positionH relativeFrom="column">
            <wp:posOffset>1545590</wp:posOffset>
          </wp:positionH>
          <wp:positionV relativeFrom="paragraph">
            <wp:posOffset>1270</wp:posOffset>
          </wp:positionV>
          <wp:extent cx="742315" cy="721995"/>
          <wp:effectExtent l="0" t="0" r="0" b="0"/>
          <wp:wrapSquare wrapText="bothSides"/>
          <wp:docPr id="15"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6" descr=""/>
                  <pic:cNvPicPr>
                    <a:picLocks noChangeAspect="1" noChangeArrowheads="1"/>
                  </pic:cNvPicPr>
                </pic:nvPicPr>
                <pic:blipFill>
                  <a:blip r:embed="rId5"/>
                  <a:stretch>
                    <a:fillRect/>
                  </a:stretch>
                </pic:blipFill>
                <pic:spPr bwMode="auto">
                  <a:xfrm>
                    <a:off x="0" y="0"/>
                    <a:ext cx="742315" cy="72199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673" w:hanging="361"/>
      </w:pPr>
      <w:rPr>
        <w:rFonts w:ascii="Times New Roman" w:hAnsi="Times New Roman" w:cs="Times New Roman" w:hint="default"/>
        <w:sz w:val="24"/>
        <w:b/>
        <w:szCs w:val="22"/>
        <w:w w:val="100"/>
        <w:rFonts w:cs="Times New Roman"/>
        <w:lang w:val="it-IT" w:eastAsia="en-US" w:bidi="ar-SA"/>
      </w:rPr>
    </w:lvl>
    <w:lvl w:ilvl="1">
      <w:start w:val="1"/>
      <w:numFmt w:val="bullet"/>
      <w:lvlText w:val="-"/>
      <w:lvlJc w:val="left"/>
      <w:pPr>
        <w:ind w:left="1033" w:hanging="360"/>
      </w:pPr>
      <w:rPr>
        <w:rFonts w:ascii="Arial MT" w:hAnsi="Arial MT" w:cs="Arial MT" w:hint="default"/>
        <w:sz w:val="24"/>
        <w:b/>
        <w:szCs w:val="22"/>
        <w:w w:val="100"/>
        <w:rFonts w:cs="Arial MT"/>
        <w:lang w:val="it-IT" w:eastAsia="en-US" w:bidi="ar-SA"/>
      </w:rPr>
    </w:lvl>
    <w:lvl w:ilvl="2">
      <w:start w:val="1"/>
      <w:numFmt w:val="bullet"/>
      <w:lvlText w:val=""/>
      <w:lvlJc w:val="left"/>
      <w:pPr>
        <w:ind w:left="2086" w:hanging="360"/>
      </w:pPr>
      <w:rPr>
        <w:rFonts w:ascii="Symbol" w:hAnsi="Symbol" w:cs="Symbol" w:hint="default"/>
        <w:lang w:val="it-IT" w:eastAsia="en-US" w:bidi="ar-SA"/>
      </w:rPr>
    </w:lvl>
    <w:lvl w:ilvl="3">
      <w:start w:val="1"/>
      <w:numFmt w:val="bullet"/>
      <w:lvlText w:val=""/>
      <w:lvlJc w:val="left"/>
      <w:pPr>
        <w:ind w:left="3133" w:hanging="360"/>
      </w:pPr>
      <w:rPr>
        <w:rFonts w:ascii="Symbol" w:hAnsi="Symbol" w:cs="Symbol" w:hint="default"/>
        <w:lang w:val="it-IT" w:eastAsia="en-US" w:bidi="ar-SA"/>
      </w:rPr>
    </w:lvl>
    <w:lvl w:ilvl="4">
      <w:start w:val="1"/>
      <w:numFmt w:val="bullet"/>
      <w:lvlText w:val=""/>
      <w:lvlJc w:val="left"/>
      <w:pPr>
        <w:ind w:left="4179" w:hanging="360"/>
      </w:pPr>
      <w:rPr>
        <w:rFonts w:ascii="Symbol" w:hAnsi="Symbol" w:cs="Symbol" w:hint="default"/>
        <w:lang w:val="it-IT" w:eastAsia="en-US" w:bidi="ar-SA"/>
      </w:rPr>
    </w:lvl>
    <w:lvl w:ilvl="5">
      <w:start w:val="1"/>
      <w:numFmt w:val="bullet"/>
      <w:lvlText w:val=""/>
      <w:lvlJc w:val="left"/>
      <w:pPr>
        <w:ind w:left="5226" w:hanging="360"/>
      </w:pPr>
      <w:rPr>
        <w:rFonts w:ascii="Symbol" w:hAnsi="Symbol" w:cs="Symbol" w:hint="default"/>
        <w:lang w:val="it-IT" w:eastAsia="en-US" w:bidi="ar-SA"/>
      </w:rPr>
    </w:lvl>
    <w:lvl w:ilvl="6">
      <w:start w:val="1"/>
      <w:numFmt w:val="bullet"/>
      <w:lvlText w:val=""/>
      <w:lvlJc w:val="left"/>
      <w:pPr>
        <w:ind w:left="6272" w:hanging="360"/>
      </w:pPr>
      <w:rPr>
        <w:rFonts w:ascii="Symbol" w:hAnsi="Symbol" w:cs="Symbol" w:hint="default"/>
        <w:lang w:val="it-IT" w:eastAsia="en-US" w:bidi="ar-SA"/>
      </w:rPr>
    </w:lvl>
    <w:lvl w:ilvl="7">
      <w:start w:val="1"/>
      <w:numFmt w:val="bullet"/>
      <w:lvlText w:val=""/>
      <w:lvlJc w:val="left"/>
      <w:pPr>
        <w:ind w:left="7319" w:hanging="360"/>
      </w:pPr>
      <w:rPr>
        <w:rFonts w:ascii="Symbol" w:hAnsi="Symbol" w:cs="Symbol" w:hint="default"/>
        <w:lang w:val="it-IT" w:eastAsia="en-US" w:bidi="ar-SA"/>
      </w:rPr>
    </w:lvl>
    <w:lvl w:ilvl="8">
      <w:start w:val="1"/>
      <w:numFmt w:val="bullet"/>
      <w:lvlText w:val=""/>
      <w:lvlJc w:val="left"/>
      <w:pPr>
        <w:ind w:left="8366" w:hanging="360"/>
      </w:pPr>
      <w:rPr>
        <w:rFonts w:ascii="Symbol" w:hAnsi="Symbol" w:cs="Symbol" w:hint="default"/>
        <w:lang w:val="it-IT" w:eastAsia="en-US" w:bidi="ar-SA"/>
      </w:rPr>
    </w:lvl>
  </w:abstractNum>
  <w:abstractNum w:abstractNumId="2">
    <w:lvl w:ilvl="0">
      <w:start w:val="1"/>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3">
    <w:lvl w:ilvl="0">
      <w:start w:val="1"/>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4">
    <w:lvl w:ilvl="0">
      <w:start w:val="1"/>
      <w:numFmt w:val="decimal"/>
      <w:lvlText w:val="%1."/>
      <w:lvlJc w:val="left"/>
      <w:pPr>
        <w:ind w:left="312" w:hanging="0"/>
      </w:pPr>
      <w:rPr>
        <w:sz w:val="24"/>
        <w:spacing w:val="0"/>
        <w:b/>
        <w:w w:val="96"/>
        <w:rFonts w:ascii="Centaur" w:hAnsi="Centaur"/>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5">
    <w:lvl w:ilvl="0">
      <w:start w:val="1"/>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6">
    <w:lvl w:ilvl="0">
      <w:start w:val="1"/>
      <w:numFmt w:val="bullet"/>
      <w:lvlText w:val="-"/>
      <w:lvlJc w:val="left"/>
      <w:pPr>
        <w:ind w:left="406" w:hanging="126"/>
      </w:pPr>
      <w:rPr>
        <w:rFonts w:ascii="Microsoft Sans Serif" w:hAnsi="Microsoft Sans Serif" w:cs="Microsoft Sans Serif" w:hint="default"/>
        <w:sz w:val="24"/>
        <w:b/>
        <w:szCs w:val="20"/>
        <w:w w:val="96"/>
        <w:rFonts w:cs="Microsoft Sans Serif"/>
        <w:lang w:val="it-IT" w:eastAsia="en-US" w:bidi="ar-SA"/>
      </w:rPr>
    </w:lvl>
    <w:lvl w:ilvl="1">
      <w:start w:val="1"/>
      <w:numFmt w:val="bullet"/>
      <w:lvlText w:val=""/>
      <w:lvlJc w:val="left"/>
      <w:pPr>
        <w:ind w:left="1405" w:hanging="126"/>
      </w:pPr>
      <w:rPr>
        <w:rFonts w:ascii="Symbol" w:hAnsi="Symbol" w:cs="Symbol" w:hint="default"/>
        <w:lang w:val="it-IT" w:eastAsia="en-US" w:bidi="ar-SA"/>
      </w:rPr>
    </w:lvl>
    <w:lvl w:ilvl="2">
      <w:start w:val="1"/>
      <w:numFmt w:val="bullet"/>
      <w:lvlText w:val=""/>
      <w:lvlJc w:val="left"/>
      <w:pPr>
        <w:ind w:left="2411" w:hanging="126"/>
      </w:pPr>
      <w:rPr>
        <w:rFonts w:ascii="Symbol" w:hAnsi="Symbol" w:cs="Symbol" w:hint="default"/>
        <w:lang w:val="it-IT" w:eastAsia="en-US" w:bidi="ar-SA"/>
      </w:rPr>
    </w:lvl>
    <w:lvl w:ilvl="3">
      <w:start w:val="1"/>
      <w:numFmt w:val="bullet"/>
      <w:lvlText w:val=""/>
      <w:lvlJc w:val="left"/>
      <w:pPr>
        <w:ind w:left="3417" w:hanging="126"/>
      </w:pPr>
      <w:rPr>
        <w:rFonts w:ascii="Symbol" w:hAnsi="Symbol" w:cs="Symbol" w:hint="default"/>
        <w:lang w:val="it-IT" w:eastAsia="en-US" w:bidi="ar-SA"/>
      </w:rPr>
    </w:lvl>
    <w:lvl w:ilvl="4">
      <w:start w:val="1"/>
      <w:numFmt w:val="bullet"/>
      <w:lvlText w:val=""/>
      <w:lvlJc w:val="left"/>
      <w:pPr>
        <w:ind w:left="4423" w:hanging="126"/>
      </w:pPr>
      <w:rPr>
        <w:rFonts w:ascii="Symbol" w:hAnsi="Symbol" w:cs="Symbol" w:hint="default"/>
        <w:lang w:val="it-IT" w:eastAsia="en-US" w:bidi="ar-SA"/>
      </w:rPr>
    </w:lvl>
    <w:lvl w:ilvl="5">
      <w:start w:val="1"/>
      <w:numFmt w:val="bullet"/>
      <w:lvlText w:val=""/>
      <w:lvlJc w:val="left"/>
      <w:pPr>
        <w:ind w:left="5429" w:hanging="126"/>
      </w:pPr>
      <w:rPr>
        <w:rFonts w:ascii="Symbol" w:hAnsi="Symbol" w:cs="Symbol" w:hint="default"/>
        <w:lang w:val="it-IT" w:eastAsia="en-US" w:bidi="ar-SA"/>
      </w:rPr>
    </w:lvl>
    <w:lvl w:ilvl="6">
      <w:start w:val="1"/>
      <w:numFmt w:val="bullet"/>
      <w:lvlText w:val=""/>
      <w:lvlJc w:val="left"/>
      <w:pPr>
        <w:ind w:left="6435" w:hanging="126"/>
      </w:pPr>
      <w:rPr>
        <w:rFonts w:ascii="Symbol" w:hAnsi="Symbol" w:cs="Symbol" w:hint="default"/>
        <w:lang w:val="it-IT" w:eastAsia="en-US" w:bidi="ar-SA"/>
      </w:rPr>
    </w:lvl>
    <w:lvl w:ilvl="7">
      <w:start w:val="1"/>
      <w:numFmt w:val="bullet"/>
      <w:lvlText w:val=""/>
      <w:lvlJc w:val="left"/>
      <w:pPr>
        <w:ind w:left="7441" w:hanging="126"/>
      </w:pPr>
      <w:rPr>
        <w:rFonts w:ascii="Symbol" w:hAnsi="Symbol" w:cs="Symbol" w:hint="default"/>
        <w:lang w:val="it-IT" w:eastAsia="en-US" w:bidi="ar-SA"/>
      </w:rPr>
    </w:lvl>
    <w:lvl w:ilvl="8">
      <w:start w:val="1"/>
      <w:numFmt w:val="bullet"/>
      <w:lvlText w:val=""/>
      <w:lvlJc w:val="left"/>
      <w:pPr>
        <w:ind w:left="8447" w:hanging="126"/>
      </w:pPr>
      <w:rPr>
        <w:rFonts w:ascii="Symbol" w:hAnsi="Symbol" w:cs="Symbol" w:hint="default"/>
        <w:lang w:val="it-IT" w:eastAsia="en-US" w:bidi="ar-SA"/>
      </w:rPr>
    </w:lvl>
  </w:abstractNum>
  <w:abstractNum w:abstractNumId="7">
    <w:lvl w:ilvl="0">
      <w:start w:val="9"/>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8">
    <w:lvl w:ilvl="0">
      <w:start w:val="1"/>
      <w:numFmt w:val="bullet"/>
      <w:lvlText w:val="-"/>
      <w:lvlJc w:val="left"/>
      <w:pPr>
        <w:ind w:left="570" w:hanging="258"/>
      </w:pPr>
      <w:rPr>
        <w:rFonts w:ascii="Times New Roman" w:hAnsi="Times New Roman" w:cs="Times New Roman" w:hint="default"/>
        <w:sz w:val="24"/>
        <w:b/>
        <w:szCs w:val="23"/>
        <w:w w:val="94"/>
        <w:rFonts w:cs="Times New Roman"/>
        <w:lang w:val="it-IT" w:eastAsia="en-US" w:bidi="ar-SA"/>
      </w:rPr>
    </w:lvl>
    <w:lvl w:ilvl="1">
      <w:start w:val="1"/>
      <w:numFmt w:val="bullet"/>
      <w:lvlText w:val=""/>
      <w:lvlJc w:val="left"/>
      <w:pPr>
        <w:ind w:left="1567" w:hanging="258"/>
      </w:pPr>
      <w:rPr>
        <w:rFonts w:ascii="Symbol" w:hAnsi="Symbol" w:cs="Symbol" w:hint="default"/>
        <w:lang w:val="it-IT" w:eastAsia="en-US" w:bidi="ar-SA"/>
      </w:rPr>
    </w:lvl>
    <w:lvl w:ilvl="2">
      <w:start w:val="1"/>
      <w:numFmt w:val="bullet"/>
      <w:lvlText w:val=""/>
      <w:lvlJc w:val="left"/>
      <w:pPr>
        <w:ind w:left="2555" w:hanging="258"/>
      </w:pPr>
      <w:rPr>
        <w:rFonts w:ascii="Symbol" w:hAnsi="Symbol" w:cs="Symbol" w:hint="default"/>
        <w:lang w:val="it-IT" w:eastAsia="en-US" w:bidi="ar-SA"/>
      </w:rPr>
    </w:lvl>
    <w:lvl w:ilvl="3">
      <w:start w:val="1"/>
      <w:numFmt w:val="bullet"/>
      <w:lvlText w:val=""/>
      <w:lvlJc w:val="left"/>
      <w:pPr>
        <w:ind w:left="3543" w:hanging="258"/>
      </w:pPr>
      <w:rPr>
        <w:rFonts w:ascii="Symbol" w:hAnsi="Symbol" w:cs="Symbol" w:hint="default"/>
        <w:lang w:val="it-IT" w:eastAsia="en-US" w:bidi="ar-SA"/>
      </w:rPr>
    </w:lvl>
    <w:lvl w:ilvl="4">
      <w:start w:val="1"/>
      <w:numFmt w:val="bullet"/>
      <w:lvlText w:val=""/>
      <w:lvlJc w:val="left"/>
      <w:pPr>
        <w:ind w:left="4531" w:hanging="258"/>
      </w:pPr>
      <w:rPr>
        <w:rFonts w:ascii="Symbol" w:hAnsi="Symbol" w:cs="Symbol" w:hint="default"/>
        <w:lang w:val="it-IT" w:eastAsia="en-US" w:bidi="ar-SA"/>
      </w:rPr>
    </w:lvl>
    <w:lvl w:ilvl="5">
      <w:start w:val="1"/>
      <w:numFmt w:val="bullet"/>
      <w:lvlText w:val=""/>
      <w:lvlJc w:val="left"/>
      <w:pPr>
        <w:ind w:left="5519" w:hanging="258"/>
      </w:pPr>
      <w:rPr>
        <w:rFonts w:ascii="Symbol" w:hAnsi="Symbol" w:cs="Symbol" w:hint="default"/>
        <w:lang w:val="it-IT" w:eastAsia="en-US" w:bidi="ar-SA"/>
      </w:rPr>
    </w:lvl>
    <w:lvl w:ilvl="6">
      <w:start w:val="1"/>
      <w:numFmt w:val="bullet"/>
      <w:lvlText w:val=""/>
      <w:lvlJc w:val="left"/>
      <w:pPr>
        <w:ind w:left="6507" w:hanging="258"/>
      </w:pPr>
      <w:rPr>
        <w:rFonts w:ascii="Symbol" w:hAnsi="Symbol" w:cs="Symbol" w:hint="default"/>
        <w:lang w:val="it-IT" w:eastAsia="en-US" w:bidi="ar-SA"/>
      </w:rPr>
    </w:lvl>
    <w:lvl w:ilvl="7">
      <w:start w:val="1"/>
      <w:numFmt w:val="bullet"/>
      <w:lvlText w:val=""/>
      <w:lvlJc w:val="left"/>
      <w:pPr>
        <w:ind w:left="7495" w:hanging="258"/>
      </w:pPr>
      <w:rPr>
        <w:rFonts w:ascii="Symbol" w:hAnsi="Symbol" w:cs="Symbol" w:hint="default"/>
        <w:lang w:val="it-IT" w:eastAsia="en-US" w:bidi="ar-SA"/>
      </w:rPr>
    </w:lvl>
    <w:lvl w:ilvl="8">
      <w:start w:val="1"/>
      <w:numFmt w:val="bullet"/>
      <w:lvlText w:val=""/>
      <w:lvlJc w:val="left"/>
      <w:pPr>
        <w:ind w:left="8483" w:hanging="258"/>
      </w:pPr>
      <w:rPr>
        <w:rFonts w:ascii="Symbol" w:hAnsi="Symbol" w:cs="Symbol" w:hint="default"/>
        <w:lang w:val="it-IT" w:eastAsia="en-US" w:bidi="ar-SA"/>
      </w:rPr>
    </w:lvl>
  </w:abstractNum>
  <w:abstractNum w:abstractNumId="9">
    <w:lvl w:ilvl="0">
      <w:start w:val="14"/>
      <w:numFmt w:val="decimal"/>
      <w:lvlText w:val="%1."/>
      <w:lvlJc w:val="left"/>
      <w:pPr>
        <w:ind w:left="312" w:hanging="0"/>
      </w:pPr>
      <w:rPr>
        <w:sz w:val="24"/>
        <w:spacing w:val="-1"/>
        <w:b/>
        <w:szCs w:val="20"/>
        <w:bCs w:val="false"/>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10">
    <w:lvl w:ilvl="0">
      <w:start w:val="1"/>
      <w:numFmt w:val="decimal"/>
      <w:lvlText w:val="%1."/>
      <w:lvlJc w:val="left"/>
      <w:pPr>
        <w:ind w:left="546"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021" w:hanging="0"/>
      </w:pPr>
      <w:rPr>
        <w:rFonts w:ascii="Microsoft Sans Serif" w:hAnsi="Microsoft Sans Serif" w:cs="Microsoft Sans Serif" w:hint="default"/>
        <w:sz w:val="24"/>
        <w:b/>
        <w:szCs w:val="20"/>
        <w:w w:val="96"/>
        <w:rFonts w:cs="Microsoft Sans Serif"/>
        <w:lang w:val="it-IT" w:eastAsia="en-US" w:bidi="ar-SA"/>
      </w:rPr>
    </w:lvl>
    <w:lvl w:ilvl="2">
      <w:start w:val="1"/>
      <w:numFmt w:val="bullet"/>
      <w:lvlText w:val=""/>
      <w:lvlJc w:val="left"/>
      <w:pPr>
        <w:ind w:left="2068" w:hanging="0"/>
      </w:pPr>
      <w:rPr>
        <w:rFonts w:ascii="Symbol" w:hAnsi="Symbol" w:cs="Symbol" w:hint="default"/>
        <w:lang w:val="it-IT" w:eastAsia="en-US" w:bidi="ar-SA"/>
      </w:rPr>
    </w:lvl>
    <w:lvl w:ilvl="3">
      <w:start w:val="1"/>
      <w:numFmt w:val="bullet"/>
      <w:lvlText w:val=""/>
      <w:lvlJc w:val="left"/>
      <w:pPr>
        <w:ind w:left="3117" w:hanging="0"/>
      </w:pPr>
      <w:rPr>
        <w:rFonts w:ascii="Symbol" w:hAnsi="Symbol" w:cs="Symbol" w:hint="default"/>
        <w:lang w:val="it-IT" w:eastAsia="en-US" w:bidi="ar-SA"/>
      </w:rPr>
    </w:lvl>
    <w:lvl w:ilvl="4">
      <w:start w:val="1"/>
      <w:numFmt w:val="bullet"/>
      <w:lvlText w:val=""/>
      <w:lvlJc w:val="left"/>
      <w:pPr>
        <w:ind w:left="4166" w:hanging="0"/>
      </w:pPr>
      <w:rPr>
        <w:rFonts w:ascii="Symbol" w:hAnsi="Symbol" w:cs="Symbol" w:hint="default"/>
        <w:lang w:val="it-IT" w:eastAsia="en-US" w:bidi="ar-SA"/>
      </w:rPr>
    </w:lvl>
    <w:lvl w:ilvl="5">
      <w:start w:val="1"/>
      <w:numFmt w:val="bullet"/>
      <w:lvlText w:val=""/>
      <w:lvlJc w:val="left"/>
      <w:pPr>
        <w:ind w:left="5215" w:hanging="0"/>
      </w:pPr>
      <w:rPr>
        <w:rFonts w:ascii="Symbol" w:hAnsi="Symbol" w:cs="Symbol" w:hint="default"/>
        <w:lang w:val="it-IT" w:eastAsia="en-US" w:bidi="ar-SA"/>
      </w:rPr>
    </w:lvl>
    <w:lvl w:ilvl="6">
      <w:start w:val="1"/>
      <w:numFmt w:val="bullet"/>
      <w:lvlText w:val=""/>
      <w:lvlJc w:val="left"/>
      <w:pPr>
        <w:ind w:left="6264" w:hanging="0"/>
      </w:pPr>
      <w:rPr>
        <w:rFonts w:ascii="Symbol" w:hAnsi="Symbol" w:cs="Symbol" w:hint="default"/>
        <w:lang w:val="it-IT" w:eastAsia="en-US" w:bidi="ar-SA"/>
      </w:rPr>
    </w:lvl>
    <w:lvl w:ilvl="7">
      <w:start w:val="1"/>
      <w:numFmt w:val="bullet"/>
      <w:lvlText w:val=""/>
      <w:lvlJc w:val="left"/>
      <w:pPr>
        <w:ind w:left="7312" w:hanging="0"/>
      </w:pPr>
      <w:rPr>
        <w:rFonts w:ascii="Symbol" w:hAnsi="Symbol" w:cs="Symbol" w:hint="default"/>
        <w:lang w:val="it-IT" w:eastAsia="en-US" w:bidi="ar-SA"/>
      </w:rPr>
    </w:lvl>
    <w:lvl w:ilvl="8">
      <w:start w:val="1"/>
      <w:numFmt w:val="bullet"/>
      <w:lvlText w:val=""/>
      <w:lvlJc w:val="left"/>
      <w:pPr>
        <w:ind w:left="8361" w:hanging="0"/>
      </w:pPr>
      <w:rPr>
        <w:rFonts w:ascii="Symbol" w:hAnsi="Symbol" w:cs="Symbol" w:hint="default"/>
        <w:lang w:val="it-IT" w:eastAsia="en-US" w:bidi="ar-SA"/>
      </w:rPr>
    </w:lvl>
  </w:abstractNum>
  <w:abstractNum w:abstractNumId="11">
    <w:lvl w:ilvl="0">
      <w:start w:val="1"/>
      <w:numFmt w:val="decimal"/>
      <w:lvlText w:val="%1."/>
      <w:lvlJc w:val="left"/>
      <w:pPr>
        <w:ind w:left="565"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853" w:hanging="0"/>
      </w:pPr>
      <w:rPr>
        <w:rFonts w:ascii="Times New Roman" w:hAnsi="Times New Roman" w:cs="Times New Roman" w:hint="default"/>
        <w:sz w:val="24"/>
        <w:b/>
        <w:szCs w:val="22"/>
        <w:w w:val="97"/>
        <w:rFonts w:cs="Times New Roman"/>
        <w:lang w:val="it-IT" w:eastAsia="en-US" w:bidi="ar-SA"/>
      </w:rPr>
    </w:lvl>
    <w:lvl w:ilvl="2">
      <w:start w:val="1"/>
      <w:numFmt w:val="bullet"/>
      <w:lvlText w:val="•"/>
      <w:lvlJc w:val="left"/>
      <w:pPr>
        <w:ind w:left="1158" w:hanging="0"/>
      </w:pPr>
      <w:rPr>
        <w:rFonts w:ascii="Microsoft Sans Serif" w:hAnsi="Microsoft Sans Serif" w:cs="Microsoft Sans Serif" w:hint="default"/>
        <w:sz w:val="24"/>
        <w:u w:val="single" w:color="000000"/>
        <w:b/>
        <w:szCs w:val="20"/>
        <w:w w:val="96"/>
        <w:rFonts w:cs="Microsoft Sans Serif"/>
        <w:lang w:val="it-IT" w:eastAsia="en-US" w:bidi="ar-SA"/>
      </w:rPr>
    </w:lvl>
    <w:lvl w:ilvl="3">
      <w:start w:val="1"/>
      <w:numFmt w:val="bullet"/>
      <w:lvlText w:val=""/>
      <w:lvlJc w:val="left"/>
      <w:pPr>
        <w:ind w:left="2322" w:hanging="0"/>
      </w:pPr>
      <w:rPr>
        <w:rFonts w:ascii="Symbol" w:hAnsi="Symbol" w:cs="Symbol" w:hint="default"/>
        <w:lang w:val="it-IT" w:eastAsia="en-US" w:bidi="ar-SA"/>
      </w:rPr>
    </w:lvl>
    <w:lvl w:ilvl="4">
      <w:start w:val="1"/>
      <w:numFmt w:val="bullet"/>
      <w:lvlText w:val=""/>
      <w:lvlJc w:val="left"/>
      <w:pPr>
        <w:ind w:left="3484" w:hanging="0"/>
      </w:pPr>
      <w:rPr>
        <w:rFonts w:ascii="Symbol" w:hAnsi="Symbol" w:cs="Symbol" w:hint="default"/>
        <w:lang w:val="it-IT" w:eastAsia="en-US" w:bidi="ar-SA"/>
      </w:rPr>
    </w:lvl>
    <w:lvl w:ilvl="5">
      <w:start w:val="1"/>
      <w:numFmt w:val="bullet"/>
      <w:lvlText w:val=""/>
      <w:lvlJc w:val="left"/>
      <w:pPr>
        <w:ind w:left="4647" w:hanging="0"/>
      </w:pPr>
      <w:rPr>
        <w:rFonts w:ascii="Symbol" w:hAnsi="Symbol" w:cs="Symbol" w:hint="default"/>
        <w:lang w:val="it-IT" w:eastAsia="en-US" w:bidi="ar-SA"/>
      </w:rPr>
    </w:lvl>
    <w:lvl w:ilvl="6">
      <w:start w:val="1"/>
      <w:numFmt w:val="bullet"/>
      <w:lvlText w:val=""/>
      <w:lvlJc w:val="left"/>
      <w:pPr>
        <w:ind w:left="5809" w:hanging="0"/>
      </w:pPr>
      <w:rPr>
        <w:rFonts w:ascii="Symbol" w:hAnsi="Symbol" w:cs="Symbol" w:hint="default"/>
        <w:lang w:val="it-IT" w:eastAsia="en-US" w:bidi="ar-SA"/>
      </w:rPr>
    </w:lvl>
    <w:lvl w:ilvl="7">
      <w:start w:val="1"/>
      <w:numFmt w:val="bullet"/>
      <w:lvlText w:val=""/>
      <w:lvlJc w:val="left"/>
      <w:pPr>
        <w:ind w:left="6972" w:hanging="0"/>
      </w:pPr>
      <w:rPr>
        <w:rFonts w:ascii="Symbol" w:hAnsi="Symbol" w:cs="Symbol" w:hint="default"/>
        <w:lang w:val="it-IT" w:eastAsia="en-US" w:bidi="ar-SA"/>
      </w:rPr>
    </w:lvl>
    <w:lvl w:ilvl="8">
      <w:start w:val="1"/>
      <w:numFmt w:val="bullet"/>
      <w:lvlText w:val=""/>
      <w:lvlJc w:val="left"/>
      <w:pPr>
        <w:ind w:left="8134" w:hanging="0"/>
      </w:pPr>
      <w:rPr>
        <w:rFonts w:ascii="Symbol" w:hAnsi="Symbol" w:cs="Symbol" w:hint="default"/>
        <w:lang w:val="it-IT" w:eastAsia="en-US" w:bidi="ar-SA"/>
      </w:rPr>
    </w:lvl>
  </w:abstractNum>
  <w:abstractNum w:abstractNumId="12">
    <w:lvl w:ilvl="0">
      <w:start w:val="1"/>
      <w:numFmt w:val="lowerLetter"/>
      <w:lvlText w:val="%1)"/>
      <w:lvlJc w:val="left"/>
      <w:pPr>
        <w:ind w:left="1254"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2179" w:hanging="0"/>
      </w:pPr>
      <w:rPr>
        <w:rFonts w:ascii="Symbol" w:hAnsi="Symbol" w:cs="Symbol" w:hint="default"/>
        <w:lang w:val="it-IT" w:eastAsia="en-US" w:bidi="ar-SA"/>
      </w:rPr>
    </w:lvl>
    <w:lvl w:ilvl="2">
      <w:start w:val="1"/>
      <w:numFmt w:val="bullet"/>
      <w:lvlText w:val=""/>
      <w:lvlJc w:val="left"/>
      <w:pPr>
        <w:ind w:left="3099" w:hanging="0"/>
      </w:pPr>
      <w:rPr>
        <w:rFonts w:ascii="Symbol" w:hAnsi="Symbol" w:cs="Symbol" w:hint="default"/>
        <w:lang w:val="it-IT" w:eastAsia="en-US" w:bidi="ar-SA"/>
      </w:rPr>
    </w:lvl>
    <w:lvl w:ilvl="3">
      <w:start w:val="1"/>
      <w:numFmt w:val="bullet"/>
      <w:lvlText w:val=""/>
      <w:lvlJc w:val="left"/>
      <w:pPr>
        <w:ind w:left="4019" w:hanging="0"/>
      </w:pPr>
      <w:rPr>
        <w:rFonts w:ascii="Symbol" w:hAnsi="Symbol" w:cs="Symbol" w:hint="default"/>
        <w:lang w:val="it-IT" w:eastAsia="en-US" w:bidi="ar-SA"/>
      </w:rPr>
    </w:lvl>
    <w:lvl w:ilvl="4">
      <w:start w:val="1"/>
      <w:numFmt w:val="bullet"/>
      <w:lvlText w:val=""/>
      <w:lvlJc w:val="left"/>
      <w:pPr>
        <w:ind w:left="4939" w:hanging="0"/>
      </w:pPr>
      <w:rPr>
        <w:rFonts w:ascii="Symbol" w:hAnsi="Symbol" w:cs="Symbol" w:hint="default"/>
        <w:lang w:val="it-IT" w:eastAsia="en-US" w:bidi="ar-SA"/>
      </w:rPr>
    </w:lvl>
    <w:lvl w:ilvl="5">
      <w:start w:val="1"/>
      <w:numFmt w:val="bullet"/>
      <w:lvlText w:val=""/>
      <w:lvlJc w:val="left"/>
      <w:pPr>
        <w:ind w:left="5859" w:hanging="0"/>
      </w:pPr>
      <w:rPr>
        <w:rFonts w:ascii="Symbol" w:hAnsi="Symbol" w:cs="Symbol" w:hint="default"/>
        <w:lang w:val="it-IT" w:eastAsia="en-US" w:bidi="ar-SA"/>
      </w:rPr>
    </w:lvl>
    <w:lvl w:ilvl="6">
      <w:start w:val="1"/>
      <w:numFmt w:val="bullet"/>
      <w:lvlText w:val=""/>
      <w:lvlJc w:val="left"/>
      <w:pPr>
        <w:ind w:left="6779" w:hanging="0"/>
      </w:pPr>
      <w:rPr>
        <w:rFonts w:ascii="Symbol" w:hAnsi="Symbol" w:cs="Symbol" w:hint="default"/>
        <w:lang w:val="it-IT" w:eastAsia="en-US" w:bidi="ar-SA"/>
      </w:rPr>
    </w:lvl>
    <w:lvl w:ilvl="7">
      <w:start w:val="1"/>
      <w:numFmt w:val="bullet"/>
      <w:lvlText w:val=""/>
      <w:lvlJc w:val="left"/>
      <w:pPr>
        <w:ind w:left="7699" w:hanging="0"/>
      </w:pPr>
      <w:rPr>
        <w:rFonts w:ascii="Symbol" w:hAnsi="Symbol" w:cs="Symbol" w:hint="default"/>
        <w:lang w:val="it-IT" w:eastAsia="en-US" w:bidi="ar-SA"/>
      </w:rPr>
    </w:lvl>
    <w:lvl w:ilvl="8">
      <w:start w:val="1"/>
      <w:numFmt w:val="bullet"/>
      <w:lvlText w:val=""/>
      <w:lvlJc w:val="left"/>
      <w:pPr>
        <w:ind w:left="8619" w:hanging="0"/>
      </w:pPr>
      <w:rPr>
        <w:rFonts w:ascii="Symbol" w:hAnsi="Symbol" w:cs="Symbol" w:hint="default"/>
        <w:lang w:val="it-IT" w:eastAsia="en-US" w:bidi="ar-SA"/>
      </w:rPr>
    </w:lvl>
  </w:abstractNum>
  <w:abstractNum w:abstractNumId="13">
    <w:lvl w:ilvl="0">
      <w:start w:val="1"/>
      <w:numFmt w:val="lowerLetter"/>
      <w:lvlText w:val="%1)"/>
      <w:lvlJc w:val="left"/>
      <w:pPr>
        <w:ind w:left="1266"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2179" w:hanging="0"/>
      </w:pPr>
      <w:rPr>
        <w:rFonts w:ascii="Symbol" w:hAnsi="Symbol" w:cs="Symbol" w:hint="default"/>
        <w:lang w:val="it-IT" w:eastAsia="en-US" w:bidi="ar-SA"/>
      </w:rPr>
    </w:lvl>
    <w:lvl w:ilvl="2">
      <w:start w:val="1"/>
      <w:numFmt w:val="bullet"/>
      <w:lvlText w:val=""/>
      <w:lvlJc w:val="left"/>
      <w:pPr>
        <w:ind w:left="3099" w:hanging="0"/>
      </w:pPr>
      <w:rPr>
        <w:rFonts w:ascii="Symbol" w:hAnsi="Symbol" w:cs="Symbol" w:hint="default"/>
        <w:lang w:val="it-IT" w:eastAsia="en-US" w:bidi="ar-SA"/>
      </w:rPr>
    </w:lvl>
    <w:lvl w:ilvl="3">
      <w:start w:val="1"/>
      <w:numFmt w:val="bullet"/>
      <w:lvlText w:val=""/>
      <w:lvlJc w:val="left"/>
      <w:pPr>
        <w:ind w:left="4019" w:hanging="0"/>
      </w:pPr>
      <w:rPr>
        <w:rFonts w:ascii="Symbol" w:hAnsi="Symbol" w:cs="Symbol" w:hint="default"/>
        <w:lang w:val="it-IT" w:eastAsia="en-US" w:bidi="ar-SA"/>
      </w:rPr>
    </w:lvl>
    <w:lvl w:ilvl="4">
      <w:start w:val="1"/>
      <w:numFmt w:val="bullet"/>
      <w:lvlText w:val=""/>
      <w:lvlJc w:val="left"/>
      <w:pPr>
        <w:ind w:left="4939" w:hanging="0"/>
      </w:pPr>
      <w:rPr>
        <w:rFonts w:ascii="Symbol" w:hAnsi="Symbol" w:cs="Symbol" w:hint="default"/>
        <w:lang w:val="it-IT" w:eastAsia="en-US" w:bidi="ar-SA"/>
      </w:rPr>
    </w:lvl>
    <w:lvl w:ilvl="5">
      <w:start w:val="1"/>
      <w:numFmt w:val="bullet"/>
      <w:lvlText w:val=""/>
      <w:lvlJc w:val="left"/>
      <w:pPr>
        <w:ind w:left="5859" w:hanging="0"/>
      </w:pPr>
      <w:rPr>
        <w:rFonts w:ascii="Symbol" w:hAnsi="Symbol" w:cs="Symbol" w:hint="default"/>
        <w:lang w:val="it-IT" w:eastAsia="en-US" w:bidi="ar-SA"/>
      </w:rPr>
    </w:lvl>
    <w:lvl w:ilvl="6">
      <w:start w:val="1"/>
      <w:numFmt w:val="bullet"/>
      <w:lvlText w:val=""/>
      <w:lvlJc w:val="left"/>
      <w:pPr>
        <w:ind w:left="6779" w:hanging="0"/>
      </w:pPr>
      <w:rPr>
        <w:rFonts w:ascii="Symbol" w:hAnsi="Symbol" w:cs="Symbol" w:hint="default"/>
        <w:lang w:val="it-IT" w:eastAsia="en-US" w:bidi="ar-SA"/>
      </w:rPr>
    </w:lvl>
    <w:lvl w:ilvl="7">
      <w:start w:val="1"/>
      <w:numFmt w:val="bullet"/>
      <w:lvlText w:val=""/>
      <w:lvlJc w:val="left"/>
      <w:pPr>
        <w:ind w:left="7699" w:hanging="0"/>
      </w:pPr>
      <w:rPr>
        <w:rFonts w:ascii="Symbol" w:hAnsi="Symbol" w:cs="Symbol" w:hint="default"/>
        <w:lang w:val="it-IT" w:eastAsia="en-US" w:bidi="ar-SA"/>
      </w:rPr>
    </w:lvl>
    <w:lvl w:ilvl="8">
      <w:start w:val="1"/>
      <w:numFmt w:val="bullet"/>
      <w:lvlText w:val=""/>
      <w:lvlJc w:val="left"/>
      <w:pPr>
        <w:ind w:left="8619" w:hanging="0"/>
      </w:pPr>
      <w:rPr>
        <w:rFonts w:ascii="Symbol" w:hAnsi="Symbol" w:cs="Symbol" w:hint="default"/>
        <w:lang w:val="it-IT" w:eastAsia="en-US" w:bidi="ar-SA"/>
      </w:rPr>
    </w:lvl>
  </w:abstractNum>
  <w:abstractNum w:abstractNumId="14">
    <w:lvl w:ilvl="0">
      <w:start w:val="1"/>
      <w:numFmt w:val="lowerLetter"/>
      <w:lvlText w:val="%1)"/>
      <w:lvlJc w:val="left"/>
      <w:pPr>
        <w:ind w:left="1256"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2179" w:hanging="0"/>
      </w:pPr>
      <w:rPr>
        <w:rFonts w:ascii="Symbol" w:hAnsi="Symbol" w:cs="Symbol" w:hint="default"/>
        <w:lang w:val="it-IT" w:eastAsia="en-US" w:bidi="ar-SA"/>
      </w:rPr>
    </w:lvl>
    <w:lvl w:ilvl="2">
      <w:start w:val="1"/>
      <w:numFmt w:val="bullet"/>
      <w:lvlText w:val=""/>
      <w:lvlJc w:val="left"/>
      <w:pPr>
        <w:ind w:left="3099" w:hanging="0"/>
      </w:pPr>
      <w:rPr>
        <w:rFonts w:ascii="Symbol" w:hAnsi="Symbol" w:cs="Symbol" w:hint="default"/>
        <w:lang w:val="it-IT" w:eastAsia="en-US" w:bidi="ar-SA"/>
      </w:rPr>
    </w:lvl>
    <w:lvl w:ilvl="3">
      <w:start w:val="1"/>
      <w:numFmt w:val="bullet"/>
      <w:lvlText w:val=""/>
      <w:lvlJc w:val="left"/>
      <w:pPr>
        <w:ind w:left="4019" w:hanging="0"/>
      </w:pPr>
      <w:rPr>
        <w:rFonts w:ascii="Symbol" w:hAnsi="Symbol" w:cs="Symbol" w:hint="default"/>
        <w:lang w:val="it-IT" w:eastAsia="en-US" w:bidi="ar-SA"/>
      </w:rPr>
    </w:lvl>
    <w:lvl w:ilvl="4">
      <w:start w:val="1"/>
      <w:numFmt w:val="bullet"/>
      <w:lvlText w:val=""/>
      <w:lvlJc w:val="left"/>
      <w:pPr>
        <w:ind w:left="4939" w:hanging="0"/>
      </w:pPr>
      <w:rPr>
        <w:rFonts w:ascii="Symbol" w:hAnsi="Symbol" w:cs="Symbol" w:hint="default"/>
        <w:lang w:val="it-IT" w:eastAsia="en-US" w:bidi="ar-SA"/>
      </w:rPr>
    </w:lvl>
    <w:lvl w:ilvl="5">
      <w:start w:val="1"/>
      <w:numFmt w:val="bullet"/>
      <w:lvlText w:val=""/>
      <w:lvlJc w:val="left"/>
      <w:pPr>
        <w:ind w:left="5859" w:hanging="0"/>
      </w:pPr>
      <w:rPr>
        <w:rFonts w:ascii="Symbol" w:hAnsi="Symbol" w:cs="Symbol" w:hint="default"/>
        <w:lang w:val="it-IT" w:eastAsia="en-US" w:bidi="ar-SA"/>
      </w:rPr>
    </w:lvl>
    <w:lvl w:ilvl="6">
      <w:start w:val="1"/>
      <w:numFmt w:val="bullet"/>
      <w:lvlText w:val=""/>
      <w:lvlJc w:val="left"/>
      <w:pPr>
        <w:ind w:left="6779" w:hanging="0"/>
      </w:pPr>
      <w:rPr>
        <w:rFonts w:ascii="Symbol" w:hAnsi="Symbol" w:cs="Symbol" w:hint="default"/>
        <w:lang w:val="it-IT" w:eastAsia="en-US" w:bidi="ar-SA"/>
      </w:rPr>
    </w:lvl>
    <w:lvl w:ilvl="7">
      <w:start w:val="1"/>
      <w:numFmt w:val="bullet"/>
      <w:lvlText w:val=""/>
      <w:lvlJc w:val="left"/>
      <w:pPr>
        <w:ind w:left="7699" w:hanging="0"/>
      </w:pPr>
      <w:rPr>
        <w:rFonts w:ascii="Symbol" w:hAnsi="Symbol" w:cs="Symbol" w:hint="default"/>
        <w:lang w:val="it-IT" w:eastAsia="en-US" w:bidi="ar-SA"/>
      </w:rPr>
    </w:lvl>
    <w:lvl w:ilvl="8">
      <w:start w:val="1"/>
      <w:numFmt w:val="bullet"/>
      <w:lvlText w:val=""/>
      <w:lvlJc w:val="left"/>
      <w:pPr>
        <w:ind w:left="8619" w:hanging="0"/>
      </w:pPr>
      <w:rPr>
        <w:rFonts w:ascii="Symbol" w:hAnsi="Symbol" w:cs="Symbol" w:hint="default"/>
        <w:lang w:val="it-IT" w:eastAsia="en-US" w:bidi="ar-SA"/>
      </w:rPr>
    </w:lvl>
  </w:abstractNum>
  <w:abstractNum w:abstractNumId="15">
    <w:lvl w:ilvl="0">
      <w:start w:val="7"/>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16">
    <w:lvl w:ilvl="0">
      <w:start w:val="1"/>
      <w:numFmt w:val="decimal"/>
      <w:lvlText w:val="%1."/>
      <w:lvlJc w:val="left"/>
      <w:pPr>
        <w:ind w:left="113" w:hanging="0"/>
      </w:pPr>
      <w:rPr>
        <w:sz w:val="24"/>
        <w:spacing w:val="0"/>
        <w:b/>
        <w:szCs w:val="20"/>
        <w:w w:val="96"/>
        <w:rFonts w:ascii="Centaur" w:hAnsi="Centaur" w:eastAsia="Microsoft Sans Serif" w:cs="Microsoft Sans Serif"/>
        <w:lang w:val="it-IT" w:eastAsia="en-US" w:bidi="ar-SA"/>
      </w:rPr>
    </w:lvl>
    <w:lvl w:ilvl="1">
      <w:start w:val="1"/>
      <w:numFmt w:val="lowerLetter"/>
      <w:lvlText w:val="%2)"/>
      <w:lvlJc w:val="left"/>
      <w:pPr>
        <w:ind w:left="360" w:hanging="0"/>
      </w:pPr>
      <w:rPr>
        <w:sz w:val="24"/>
        <w:spacing w:val="2"/>
        <w:b/>
        <w:szCs w:val="18"/>
        <w:w w:val="96"/>
        <w:rFonts w:ascii="Centaur" w:hAnsi="Centaur" w:eastAsia="Microsoft Sans Serif" w:cs="Microsoft Sans Serif"/>
        <w:lang w:val="it-IT" w:eastAsia="en-US" w:bidi="ar-SA"/>
      </w:rPr>
    </w:lvl>
    <w:lvl w:ilvl="2">
      <w:start w:val="1"/>
      <w:numFmt w:val="none"/>
      <w:suff w:val="nothing"/>
      <w:lvlText w:val=""/>
      <w:lvlJc w:val="left"/>
      <w:pPr>
        <w:ind w:left="0" w:hanging="0"/>
      </w:pPr>
    </w:lvl>
    <w:lvl w:ilvl="3">
      <w:start w:val="1"/>
      <w:numFmt w:val="bullet"/>
      <w:lvlText w:val=""/>
      <w:lvlJc w:val="left"/>
      <w:pPr>
        <w:ind w:left="1902" w:hanging="0"/>
      </w:pPr>
      <w:rPr>
        <w:rFonts w:ascii="Symbol" w:hAnsi="Symbol" w:cs="Symbol" w:hint="default"/>
        <w:lang w:val="it-IT" w:eastAsia="en-US" w:bidi="ar-SA"/>
      </w:rPr>
    </w:lvl>
    <w:lvl w:ilvl="4">
      <w:start w:val="1"/>
      <w:numFmt w:val="bullet"/>
      <w:lvlText w:val=""/>
      <w:lvlJc w:val="left"/>
      <w:pPr>
        <w:ind w:left="3124" w:hanging="0"/>
      </w:pPr>
      <w:rPr>
        <w:rFonts w:ascii="Symbol" w:hAnsi="Symbol" w:cs="Symbol" w:hint="default"/>
        <w:lang w:val="it-IT" w:eastAsia="en-US" w:bidi="ar-SA"/>
      </w:rPr>
    </w:lvl>
    <w:lvl w:ilvl="5">
      <w:start w:val="1"/>
      <w:numFmt w:val="bullet"/>
      <w:lvlText w:val=""/>
      <w:lvlJc w:val="left"/>
      <w:pPr>
        <w:ind w:left="4347" w:hanging="0"/>
      </w:pPr>
      <w:rPr>
        <w:rFonts w:ascii="Symbol" w:hAnsi="Symbol" w:cs="Symbol" w:hint="default"/>
        <w:lang w:val="it-IT" w:eastAsia="en-US" w:bidi="ar-SA"/>
      </w:rPr>
    </w:lvl>
    <w:lvl w:ilvl="6">
      <w:start w:val="1"/>
      <w:numFmt w:val="bullet"/>
      <w:lvlText w:val=""/>
      <w:lvlJc w:val="left"/>
      <w:pPr>
        <w:ind w:left="5569" w:hanging="0"/>
      </w:pPr>
      <w:rPr>
        <w:rFonts w:ascii="Symbol" w:hAnsi="Symbol" w:cs="Symbol" w:hint="default"/>
        <w:lang w:val="it-IT" w:eastAsia="en-US" w:bidi="ar-SA"/>
      </w:rPr>
    </w:lvl>
    <w:lvl w:ilvl="7">
      <w:start w:val="1"/>
      <w:numFmt w:val="bullet"/>
      <w:lvlText w:val=""/>
      <w:lvlJc w:val="left"/>
      <w:pPr>
        <w:ind w:left="6792" w:hanging="0"/>
      </w:pPr>
      <w:rPr>
        <w:rFonts w:ascii="Symbol" w:hAnsi="Symbol" w:cs="Symbol" w:hint="default"/>
        <w:lang w:val="it-IT" w:eastAsia="en-US" w:bidi="ar-SA"/>
      </w:rPr>
    </w:lvl>
    <w:lvl w:ilvl="8">
      <w:start w:val="1"/>
      <w:numFmt w:val="bullet"/>
      <w:lvlText w:val=""/>
      <w:lvlJc w:val="left"/>
      <w:pPr>
        <w:ind w:left="8014" w:hanging="0"/>
      </w:pPr>
      <w:rPr>
        <w:rFonts w:ascii="Symbol" w:hAnsi="Symbol" w:cs="Symbol" w:hint="default"/>
        <w:lang w:val="it-IT" w:eastAsia="en-US" w:bidi="ar-SA"/>
      </w:rPr>
    </w:lvl>
  </w:abstractNum>
  <w:abstractNum w:abstractNumId="17">
    <w:lvl w:ilvl="0">
      <w:start w:val="1"/>
      <w:numFmt w:val="lowerLetter"/>
      <w:lvlText w:val="%1."/>
      <w:lvlJc w:val="left"/>
      <w:pPr>
        <w:ind w:left="740"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711" w:hanging="0"/>
      </w:pPr>
      <w:rPr>
        <w:rFonts w:ascii="Symbol" w:hAnsi="Symbol" w:cs="Symbol" w:hint="default"/>
        <w:lang w:val="it-IT" w:eastAsia="en-US" w:bidi="ar-SA"/>
      </w:rPr>
    </w:lvl>
    <w:lvl w:ilvl="2">
      <w:start w:val="1"/>
      <w:numFmt w:val="bullet"/>
      <w:lvlText w:val=""/>
      <w:lvlJc w:val="left"/>
      <w:pPr>
        <w:ind w:left="2683" w:hanging="0"/>
      </w:pPr>
      <w:rPr>
        <w:rFonts w:ascii="Symbol" w:hAnsi="Symbol" w:cs="Symbol" w:hint="default"/>
        <w:lang w:val="it-IT" w:eastAsia="en-US" w:bidi="ar-SA"/>
      </w:rPr>
    </w:lvl>
    <w:lvl w:ilvl="3">
      <w:start w:val="1"/>
      <w:numFmt w:val="bullet"/>
      <w:lvlText w:val=""/>
      <w:lvlJc w:val="left"/>
      <w:pPr>
        <w:ind w:left="3655" w:hanging="0"/>
      </w:pPr>
      <w:rPr>
        <w:rFonts w:ascii="Symbol" w:hAnsi="Symbol" w:cs="Symbol" w:hint="default"/>
        <w:lang w:val="it-IT" w:eastAsia="en-US" w:bidi="ar-SA"/>
      </w:rPr>
    </w:lvl>
    <w:lvl w:ilvl="4">
      <w:start w:val="1"/>
      <w:numFmt w:val="bullet"/>
      <w:lvlText w:val=""/>
      <w:lvlJc w:val="left"/>
      <w:pPr>
        <w:ind w:left="4627" w:hanging="0"/>
      </w:pPr>
      <w:rPr>
        <w:rFonts w:ascii="Symbol" w:hAnsi="Symbol" w:cs="Symbol" w:hint="default"/>
        <w:lang w:val="it-IT" w:eastAsia="en-US" w:bidi="ar-SA"/>
      </w:rPr>
    </w:lvl>
    <w:lvl w:ilvl="5">
      <w:start w:val="1"/>
      <w:numFmt w:val="bullet"/>
      <w:lvlText w:val=""/>
      <w:lvlJc w:val="left"/>
      <w:pPr>
        <w:ind w:left="5599" w:hanging="0"/>
      </w:pPr>
      <w:rPr>
        <w:rFonts w:ascii="Symbol" w:hAnsi="Symbol" w:cs="Symbol" w:hint="default"/>
        <w:lang w:val="it-IT" w:eastAsia="en-US" w:bidi="ar-SA"/>
      </w:rPr>
    </w:lvl>
    <w:lvl w:ilvl="6">
      <w:start w:val="1"/>
      <w:numFmt w:val="bullet"/>
      <w:lvlText w:val=""/>
      <w:lvlJc w:val="left"/>
      <w:pPr>
        <w:ind w:left="6571" w:hanging="0"/>
      </w:pPr>
      <w:rPr>
        <w:rFonts w:ascii="Symbol" w:hAnsi="Symbol" w:cs="Symbol" w:hint="default"/>
        <w:lang w:val="it-IT" w:eastAsia="en-US" w:bidi="ar-SA"/>
      </w:rPr>
    </w:lvl>
    <w:lvl w:ilvl="7">
      <w:start w:val="1"/>
      <w:numFmt w:val="bullet"/>
      <w:lvlText w:val=""/>
      <w:lvlJc w:val="left"/>
      <w:pPr>
        <w:ind w:left="7543" w:hanging="0"/>
      </w:pPr>
      <w:rPr>
        <w:rFonts w:ascii="Symbol" w:hAnsi="Symbol" w:cs="Symbol" w:hint="default"/>
        <w:lang w:val="it-IT" w:eastAsia="en-US" w:bidi="ar-SA"/>
      </w:rPr>
    </w:lvl>
    <w:lvl w:ilvl="8">
      <w:start w:val="1"/>
      <w:numFmt w:val="bullet"/>
      <w:lvlText w:val=""/>
      <w:lvlJc w:val="left"/>
      <w:pPr>
        <w:ind w:left="8515" w:hanging="0"/>
      </w:pPr>
      <w:rPr>
        <w:rFonts w:ascii="Symbol" w:hAnsi="Symbol" w:cs="Symbol" w:hint="default"/>
        <w:lang w:val="it-IT" w:eastAsia="en-US" w:bidi="ar-SA"/>
      </w:rPr>
    </w:lvl>
  </w:abstractNum>
  <w:abstractNum w:abstractNumId="18">
    <w:lvl w:ilvl="0">
      <w:start w:val="1"/>
      <w:numFmt w:val="decimal"/>
      <w:lvlText w:val="%1."/>
      <w:lvlJc w:val="left"/>
      <w:pPr>
        <w:ind w:left="123"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153" w:hanging="0"/>
      </w:pPr>
      <w:rPr>
        <w:rFonts w:ascii="Symbol" w:hAnsi="Symbol" w:cs="Symbol" w:hint="default"/>
        <w:lang w:val="it-IT" w:eastAsia="en-US" w:bidi="ar-SA"/>
      </w:rPr>
    </w:lvl>
    <w:lvl w:ilvl="2">
      <w:start w:val="1"/>
      <w:numFmt w:val="bullet"/>
      <w:lvlText w:val=""/>
      <w:lvlJc w:val="left"/>
      <w:pPr>
        <w:ind w:left="2187" w:hanging="0"/>
      </w:pPr>
      <w:rPr>
        <w:rFonts w:ascii="Symbol" w:hAnsi="Symbol" w:cs="Symbol" w:hint="default"/>
        <w:lang w:val="it-IT" w:eastAsia="en-US" w:bidi="ar-SA"/>
      </w:rPr>
    </w:lvl>
    <w:lvl w:ilvl="3">
      <w:start w:val="1"/>
      <w:numFmt w:val="bullet"/>
      <w:lvlText w:val=""/>
      <w:lvlJc w:val="left"/>
      <w:pPr>
        <w:ind w:left="3221" w:hanging="0"/>
      </w:pPr>
      <w:rPr>
        <w:rFonts w:ascii="Symbol" w:hAnsi="Symbol" w:cs="Symbol" w:hint="default"/>
        <w:lang w:val="it-IT" w:eastAsia="en-US" w:bidi="ar-SA"/>
      </w:rPr>
    </w:lvl>
    <w:lvl w:ilvl="4">
      <w:start w:val="1"/>
      <w:numFmt w:val="bullet"/>
      <w:lvlText w:val=""/>
      <w:lvlJc w:val="left"/>
      <w:pPr>
        <w:ind w:left="4255" w:hanging="0"/>
      </w:pPr>
      <w:rPr>
        <w:rFonts w:ascii="Symbol" w:hAnsi="Symbol" w:cs="Symbol" w:hint="default"/>
        <w:lang w:val="it-IT" w:eastAsia="en-US" w:bidi="ar-SA"/>
      </w:rPr>
    </w:lvl>
    <w:lvl w:ilvl="5">
      <w:start w:val="1"/>
      <w:numFmt w:val="bullet"/>
      <w:lvlText w:val=""/>
      <w:lvlJc w:val="left"/>
      <w:pPr>
        <w:ind w:left="5289" w:hanging="0"/>
      </w:pPr>
      <w:rPr>
        <w:rFonts w:ascii="Symbol" w:hAnsi="Symbol" w:cs="Symbol" w:hint="default"/>
        <w:lang w:val="it-IT" w:eastAsia="en-US" w:bidi="ar-SA"/>
      </w:rPr>
    </w:lvl>
    <w:lvl w:ilvl="6">
      <w:start w:val="1"/>
      <w:numFmt w:val="bullet"/>
      <w:lvlText w:val=""/>
      <w:lvlJc w:val="left"/>
      <w:pPr>
        <w:ind w:left="6323" w:hanging="0"/>
      </w:pPr>
      <w:rPr>
        <w:rFonts w:ascii="Symbol" w:hAnsi="Symbol" w:cs="Symbol" w:hint="default"/>
        <w:lang w:val="it-IT" w:eastAsia="en-US" w:bidi="ar-SA"/>
      </w:rPr>
    </w:lvl>
    <w:lvl w:ilvl="7">
      <w:start w:val="1"/>
      <w:numFmt w:val="bullet"/>
      <w:lvlText w:val=""/>
      <w:lvlJc w:val="left"/>
      <w:pPr>
        <w:ind w:left="7357" w:hanging="0"/>
      </w:pPr>
      <w:rPr>
        <w:rFonts w:ascii="Symbol" w:hAnsi="Symbol" w:cs="Symbol" w:hint="default"/>
        <w:lang w:val="it-IT" w:eastAsia="en-US" w:bidi="ar-SA"/>
      </w:rPr>
    </w:lvl>
    <w:lvl w:ilvl="8">
      <w:start w:val="1"/>
      <w:numFmt w:val="bullet"/>
      <w:lvlText w:val=""/>
      <w:lvlJc w:val="left"/>
      <w:pPr>
        <w:ind w:left="8391" w:hanging="0"/>
      </w:pPr>
      <w:rPr>
        <w:rFonts w:ascii="Symbol" w:hAnsi="Symbol" w:cs="Symbol" w:hint="default"/>
        <w:lang w:val="it-IT" w:eastAsia="en-US" w:bidi="ar-SA"/>
      </w:rPr>
    </w:lvl>
  </w:abstractNum>
  <w:abstractNum w:abstractNumId="19">
    <w:lvl w:ilvl="0">
      <w:start w:val="1"/>
      <w:numFmt w:val="decimal"/>
      <w:lvlText w:val="%1."/>
      <w:lvlJc w:val="left"/>
      <w:pPr>
        <w:ind w:left="123" w:hanging="0"/>
      </w:pPr>
      <w:rPr>
        <w:sz w:val="24"/>
        <w:spacing w:val="0"/>
        <w:b/>
        <w:szCs w:val="20"/>
        <w:w w:val="96"/>
        <w:rFonts w:ascii="Centaur" w:hAnsi="Centaur" w:eastAsia="Microsoft Sans Serif" w:cs="Microsoft Sans Serif"/>
        <w:lang w:val="it-IT" w:eastAsia="en-US" w:bidi="ar-SA"/>
      </w:rPr>
    </w:lvl>
    <w:lvl w:ilvl="1">
      <w:start w:val="1"/>
      <w:numFmt w:val="decimal"/>
      <w:lvlText w:val="%2."/>
      <w:lvlJc w:val="left"/>
      <w:pPr>
        <w:ind w:left="312" w:hanging="0"/>
      </w:pPr>
      <w:rPr>
        <w:sz w:val="24"/>
        <w:spacing w:val="0"/>
        <w:b/>
        <w:szCs w:val="20"/>
        <w:w w:val="96"/>
        <w:rFonts w:ascii="Centaur" w:hAnsi="Centaur" w:eastAsia="Microsoft Sans Serif" w:cs="Microsoft Sans Serif"/>
        <w:lang w:val="it-IT" w:eastAsia="en-US" w:bidi="ar-SA"/>
      </w:rPr>
    </w:lvl>
    <w:lvl w:ilvl="2">
      <w:start w:val="1"/>
      <w:numFmt w:val="bullet"/>
      <w:lvlText w:val=""/>
      <w:lvlJc w:val="left"/>
      <w:pPr>
        <w:ind w:left="1446" w:hanging="0"/>
      </w:pPr>
      <w:rPr>
        <w:rFonts w:ascii="Symbol" w:hAnsi="Symbol" w:cs="Symbol" w:hint="default"/>
        <w:lang w:val="it-IT" w:eastAsia="en-US" w:bidi="ar-SA"/>
      </w:rPr>
    </w:lvl>
    <w:lvl w:ilvl="3">
      <w:start w:val="1"/>
      <w:numFmt w:val="bullet"/>
      <w:lvlText w:val=""/>
      <w:lvlJc w:val="left"/>
      <w:pPr>
        <w:ind w:left="2573" w:hanging="0"/>
      </w:pPr>
      <w:rPr>
        <w:rFonts w:ascii="Symbol" w:hAnsi="Symbol" w:cs="Symbol" w:hint="default"/>
        <w:lang w:val="it-IT" w:eastAsia="en-US" w:bidi="ar-SA"/>
      </w:rPr>
    </w:lvl>
    <w:lvl w:ilvl="4">
      <w:start w:val="1"/>
      <w:numFmt w:val="bullet"/>
      <w:lvlText w:val=""/>
      <w:lvlJc w:val="left"/>
      <w:pPr>
        <w:ind w:left="3699" w:hanging="0"/>
      </w:pPr>
      <w:rPr>
        <w:rFonts w:ascii="Symbol" w:hAnsi="Symbol" w:cs="Symbol" w:hint="default"/>
        <w:lang w:val="it-IT" w:eastAsia="en-US" w:bidi="ar-SA"/>
      </w:rPr>
    </w:lvl>
    <w:lvl w:ilvl="5">
      <w:start w:val="1"/>
      <w:numFmt w:val="bullet"/>
      <w:lvlText w:val=""/>
      <w:lvlJc w:val="left"/>
      <w:pPr>
        <w:ind w:left="4826" w:hanging="0"/>
      </w:pPr>
      <w:rPr>
        <w:rFonts w:ascii="Symbol" w:hAnsi="Symbol" w:cs="Symbol" w:hint="default"/>
        <w:lang w:val="it-IT" w:eastAsia="en-US" w:bidi="ar-SA"/>
      </w:rPr>
    </w:lvl>
    <w:lvl w:ilvl="6">
      <w:start w:val="1"/>
      <w:numFmt w:val="bullet"/>
      <w:lvlText w:val=""/>
      <w:lvlJc w:val="left"/>
      <w:pPr>
        <w:ind w:left="5952" w:hanging="0"/>
      </w:pPr>
      <w:rPr>
        <w:rFonts w:ascii="Symbol" w:hAnsi="Symbol" w:cs="Symbol" w:hint="default"/>
        <w:lang w:val="it-IT" w:eastAsia="en-US" w:bidi="ar-SA"/>
      </w:rPr>
    </w:lvl>
    <w:lvl w:ilvl="7">
      <w:start w:val="1"/>
      <w:numFmt w:val="bullet"/>
      <w:lvlText w:val=""/>
      <w:lvlJc w:val="left"/>
      <w:pPr>
        <w:ind w:left="7079" w:hanging="0"/>
      </w:pPr>
      <w:rPr>
        <w:rFonts w:ascii="Symbol" w:hAnsi="Symbol" w:cs="Symbol" w:hint="default"/>
        <w:lang w:val="it-IT" w:eastAsia="en-US" w:bidi="ar-SA"/>
      </w:rPr>
    </w:lvl>
    <w:lvl w:ilvl="8">
      <w:start w:val="1"/>
      <w:numFmt w:val="bullet"/>
      <w:lvlText w:val=""/>
      <w:lvlJc w:val="left"/>
      <w:pPr>
        <w:ind w:left="8206" w:hanging="0"/>
      </w:pPr>
      <w:rPr>
        <w:rFonts w:ascii="Symbol" w:hAnsi="Symbol" w:cs="Symbol" w:hint="default"/>
        <w:lang w:val="it-IT" w:eastAsia="en-US" w:bidi="ar-SA"/>
      </w:rPr>
    </w:lvl>
  </w:abstractNum>
  <w:abstractNum w:abstractNumId="20">
    <w:lvl w:ilvl="0">
      <w:start w:val="1"/>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21">
    <w:lvl w:ilvl="0">
      <w:start w:val="1"/>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22">
    <w:lvl w:ilvl="0">
      <w:start w:val="1"/>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23">
    <w:lvl w:ilvl="0">
      <w:start w:val="1"/>
      <w:numFmt w:val="lowerLetter"/>
      <w:lvlText w:val="%1)"/>
      <w:lvlJc w:val="left"/>
      <w:pPr>
        <w:ind w:left="673" w:hanging="0"/>
      </w:pPr>
      <w:rPr>
        <w:sz w:val="24"/>
        <w:spacing w:val="-1"/>
        <w:b/>
        <w:szCs w:val="16"/>
        <w:w w:val="100"/>
        <w:rFonts w:ascii="Centaur" w:hAnsi="Centaur" w:eastAsia="Microsoft Sans Serif" w:cs="Microsoft Sans Serif"/>
        <w:lang w:val="it-IT" w:eastAsia="en-US" w:bidi="ar-SA"/>
      </w:rPr>
    </w:lvl>
    <w:lvl w:ilvl="1">
      <w:start w:val="1"/>
      <w:numFmt w:val="bullet"/>
      <w:lvlText w:val=""/>
      <w:lvlJc w:val="left"/>
      <w:pPr>
        <w:ind w:left="1657" w:hanging="0"/>
      </w:pPr>
      <w:rPr>
        <w:rFonts w:ascii="Symbol" w:hAnsi="Symbol" w:cs="Symbol" w:hint="default"/>
        <w:lang w:val="it-IT" w:eastAsia="en-US" w:bidi="ar-SA"/>
      </w:rPr>
    </w:lvl>
    <w:lvl w:ilvl="2">
      <w:start w:val="1"/>
      <w:numFmt w:val="bullet"/>
      <w:lvlText w:val=""/>
      <w:lvlJc w:val="left"/>
      <w:pPr>
        <w:ind w:left="2635" w:hanging="0"/>
      </w:pPr>
      <w:rPr>
        <w:rFonts w:ascii="Symbol" w:hAnsi="Symbol" w:cs="Symbol" w:hint="default"/>
        <w:lang w:val="it-IT" w:eastAsia="en-US" w:bidi="ar-SA"/>
      </w:rPr>
    </w:lvl>
    <w:lvl w:ilvl="3">
      <w:start w:val="1"/>
      <w:numFmt w:val="bullet"/>
      <w:lvlText w:val=""/>
      <w:lvlJc w:val="left"/>
      <w:pPr>
        <w:ind w:left="3613" w:hanging="0"/>
      </w:pPr>
      <w:rPr>
        <w:rFonts w:ascii="Symbol" w:hAnsi="Symbol" w:cs="Symbol" w:hint="default"/>
        <w:lang w:val="it-IT" w:eastAsia="en-US" w:bidi="ar-SA"/>
      </w:rPr>
    </w:lvl>
    <w:lvl w:ilvl="4">
      <w:start w:val="1"/>
      <w:numFmt w:val="bullet"/>
      <w:lvlText w:val=""/>
      <w:lvlJc w:val="left"/>
      <w:pPr>
        <w:ind w:left="4591" w:hanging="0"/>
      </w:pPr>
      <w:rPr>
        <w:rFonts w:ascii="Symbol" w:hAnsi="Symbol" w:cs="Symbol" w:hint="default"/>
        <w:lang w:val="it-IT" w:eastAsia="en-US" w:bidi="ar-SA"/>
      </w:rPr>
    </w:lvl>
    <w:lvl w:ilvl="5">
      <w:start w:val="1"/>
      <w:numFmt w:val="bullet"/>
      <w:lvlText w:val=""/>
      <w:lvlJc w:val="left"/>
      <w:pPr>
        <w:ind w:left="5569" w:hanging="0"/>
      </w:pPr>
      <w:rPr>
        <w:rFonts w:ascii="Symbol" w:hAnsi="Symbol" w:cs="Symbol" w:hint="default"/>
        <w:lang w:val="it-IT" w:eastAsia="en-US" w:bidi="ar-SA"/>
      </w:rPr>
    </w:lvl>
    <w:lvl w:ilvl="6">
      <w:start w:val="1"/>
      <w:numFmt w:val="bullet"/>
      <w:lvlText w:val=""/>
      <w:lvlJc w:val="left"/>
      <w:pPr>
        <w:ind w:left="6547" w:hanging="0"/>
      </w:pPr>
      <w:rPr>
        <w:rFonts w:ascii="Symbol" w:hAnsi="Symbol" w:cs="Symbol" w:hint="default"/>
        <w:lang w:val="it-IT" w:eastAsia="en-US" w:bidi="ar-SA"/>
      </w:rPr>
    </w:lvl>
    <w:lvl w:ilvl="7">
      <w:start w:val="1"/>
      <w:numFmt w:val="bullet"/>
      <w:lvlText w:val=""/>
      <w:lvlJc w:val="left"/>
      <w:pPr>
        <w:ind w:left="7525" w:hanging="0"/>
      </w:pPr>
      <w:rPr>
        <w:rFonts w:ascii="Symbol" w:hAnsi="Symbol" w:cs="Symbol" w:hint="default"/>
        <w:lang w:val="it-IT" w:eastAsia="en-US" w:bidi="ar-SA"/>
      </w:rPr>
    </w:lvl>
    <w:lvl w:ilvl="8">
      <w:start w:val="1"/>
      <w:numFmt w:val="bullet"/>
      <w:lvlText w:val=""/>
      <w:lvlJc w:val="left"/>
      <w:pPr>
        <w:ind w:left="8503" w:hanging="0"/>
      </w:pPr>
      <w:rPr>
        <w:rFonts w:ascii="Symbol" w:hAnsi="Symbol" w:cs="Symbol" w:hint="default"/>
        <w:lang w:val="it-IT" w:eastAsia="en-US" w:bidi="ar-SA"/>
      </w:rPr>
    </w:lvl>
  </w:abstractNum>
  <w:abstractNum w:abstractNumId="24">
    <w:lvl w:ilvl="0">
      <w:start w:val="1"/>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25">
    <w:lvl w:ilvl="0">
      <w:start w:val="1"/>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26">
    <w:lvl w:ilvl="0">
      <w:start w:val="1"/>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27">
    <w:lvl w:ilvl="0">
      <w:start w:val="1"/>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28">
    <w:lvl w:ilvl="0">
      <w:start w:val="3"/>
      <w:numFmt w:val="decimal"/>
      <w:lvlText w:val="%1."/>
      <w:lvlJc w:val="left"/>
      <w:pPr>
        <w:ind w:left="534"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531" w:hanging="0"/>
      </w:pPr>
      <w:rPr>
        <w:rFonts w:ascii="Symbol" w:hAnsi="Symbol" w:cs="Symbol" w:hint="default"/>
        <w:lang w:val="it-IT" w:eastAsia="en-US" w:bidi="ar-SA"/>
      </w:rPr>
    </w:lvl>
    <w:lvl w:ilvl="2">
      <w:start w:val="1"/>
      <w:numFmt w:val="bullet"/>
      <w:lvlText w:val=""/>
      <w:lvlJc w:val="left"/>
      <w:pPr>
        <w:ind w:left="2523" w:hanging="0"/>
      </w:pPr>
      <w:rPr>
        <w:rFonts w:ascii="Symbol" w:hAnsi="Symbol" w:cs="Symbol" w:hint="default"/>
        <w:lang w:val="it-IT" w:eastAsia="en-US" w:bidi="ar-SA"/>
      </w:rPr>
    </w:lvl>
    <w:lvl w:ilvl="3">
      <w:start w:val="1"/>
      <w:numFmt w:val="bullet"/>
      <w:lvlText w:val=""/>
      <w:lvlJc w:val="left"/>
      <w:pPr>
        <w:ind w:left="3515" w:hanging="0"/>
      </w:pPr>
      <w:rPr>
        <w:rFonts w:ascii="Symbol" w:hAnsi="Symbol" w:cs="Symbol" w:hint="default"/>
        <w:lang w:val="it-IT" w:eastAsia="en-US" w:bidi="ar-SA"/>
      </w:rPr>
    </w:lvl>
    <w:lvl w:ilvl="4">
      <w:start w:val="1"/>
      <w:numFmt w:val="bullet"/>
      <w:lvlText w:val=""/>
      <w:lvlJc w:val="left"/>
      <w:pPr>
        <w:ind w:left="4507" w:hanging="0"/>
      </w:pPr>
      <w:rPr>
        <w:rFonts w:ascii="Symbol" w:hAnsi="Symbol" w:cs="Symbol" w:hint="default"/>
        <w:lang w:val="it-IT" w:eastAsia="en-US" w:bidi="ar-SA"/>
      </w:rPr>
    </w:lvl>
    <w:lvl w:ilvl="5">
      <w:start w:val="1"/>
      <w:numFmt w:val="bullet"/>
      <w:lvlText w:val=""/>
      <w:lvlJc w:val="left"/>
      <w:pPr>
        <w:ind w:left="5499" w:hanging="0"/>
      </w:pPr>
      <w:rPr>
        <w:rFonts w:ascii="Symbol" w:hAnsi="Symbol" w:cs="Symbol" w:hint="default"/>
        <w:lang w:val="it-IT" w:eastAsia="en-US" w:bidi="ar-SA"/>
      </w:rPr>
    </w:lvl>
    <w:lvl w:ilvl="6">
      <w:start w:val="1"/>
      <w:numFmt w:val="bullet"/>
      <w:lvlText w:val=""/>
      <w:lvlJc w:val="left"/>
      <w:pPr>
        <w:ind w:left="6491" w:hanging="0"/>
      </w:pPr>
      <w:rPr>
        <w:rFonts w:ascii="Symbol" w:hAnsi="Symbol" w:cs="Symbol" w:hint="default"/>
        <w:lang w:val="it-IT" w:eastAsia="en-US" w:bidi="ar-SA"/>
      </w:rPr>
    </w:lvl>
    <w:lvl w:ilvl="7">
      <w:start w:val="1"/>
      <w:numFmt w:val="bullet"/>
      <w:lvlText w:val=""/>
      <w:lvlJc w:val="left"/>
      <w:pPr>
        <w:ind w:left="7483" w:hanging="0"/>
      </w:pPr>
      <w:rPr>
        <w:rFonts w:ascii="Symbol" w:hAnsi="Symbol" w:cs="Symbol" w:hint="default"/>
        <w:lang w:val="it-IT" w:eastAsia="en-US" w:bidi="ar-SA"/>
      </w:rPr>
    </w:lvl>
    <w:lvl w:ilvl="8">
      <w:start w:val="1"/>
      <w:numFmt w:val="bullet"/>
      <w:lvlText w:val=""/>
      <w:lvlJc w:val="left"/>
      <w:pPr>
        <w:ind w:left="8475" w:hanging="0"/>
      </w:pPr>
      <w:rPr>
        <w:rFonts w:ascii="Symbol" w:hAnsi="Symbol" w:cs="Symbol" w:hint="default"/>
        <w:lang w:val="it-IT" w:eastAsia="en-US" w:bidi="ar-SA"/>
      </w:rPr>
    </w:lvl>
  </w:abstractNum>
  <w:abstractNum w:abstractNumId="29">
    <w:lvl w:ilvl="0">
      <w:start w:val="1"/>
      <w:numFmt w:val="decimal"/>
      <w:lvlText w:val="%1."/>
      <w:lvlJc w:val="left"/>
      <w:pPr>
        <w:ind w:left="312" w:hanging="0"/>
      </w:pPr>
      <w:rPr>
        <w:sz w:val="24"/>
        <w:spacing w:val="0"/>
        <w:b/>
        <w:szCs w:val="20"/>
        <w:w w:val="96"/>
        <w:rFonts w:ascii="Centaur" w:hAnsi="Centaur" w:eastAsia="Microsoft Sans Serif" w:cs="Microsoft Sans Serif"/>
        <w:lang w:val="it-IT" w:eastAsia="en-US" w:bidi="ar-SA"/>
      </w:rPr>
    </w:lvl>
    <w:lvl w:ilvl="1">
      <w:start w:val="1"/>
      <w:numFmt w:val="bullet"/>
      <w:lvlText w:val=""/>
      <w:lvlJc w:val="left"/>
      <w:pPr>
        <w:ind w:left="1333" w:hanging="0"/>
      </w:pPr>
      <w:rPr>
        <w:rFonts w:ascii="Symbol" w:hAnsi="Symbol" w:cs="Symbol" w:hint="default"/>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30">
    <w:lvl w:ilvl="0">
      <w:start w:val="1"/>
      <w:numFmt w:val="bullet"/>
      <w:lvlText w:val="-"/>
      <w:lvlJc w:val="left"/>
      <w:pPr>
        <w:ind w:left="416" w:hanging="164"/>
      </w:pPr>
      <w:rPr>
        <w:rFonts w:ascii="Microsoft Sans Serif" w:hAnsi="Microsoft Sans Serif" w:cs="Microsoft Sans Serif" w:hint="default"/>
        <w:sz w:val="24"/>
        <w:b/>
        <w:szCs w:val="20"/>
        <w:w w:val="96"/>
        <w:rFonts w:cs="Microsoft Sans Serif"/>
        <w:lang w:val="it-IT" w:eastAsia="en-US" w:bidi="ar-SA"/>
      </w:rPr>
    </w:lvl>
    <w:lvl w:ilvl="1">
      <w:start w:val="1"/>
      <w:numFmt w:val="bullet"/>
      <w:lvlText w:val=""/>
      <w:lvlJc w:val="left"/>
      <w:pPr>
        <w:ind w:left="1423" w:hanging="164"/>
      </w:pPr>
      <w:rPr>
        <w:rFonts w:ascii="Symbol" w:hAnsi="Symbol" w:cs="Symbol" w:hint="default"/>
        <w:lang w:val="it-IT" w:eastAsia="en-US" w:bidi="ar-SA"/>
      </w:rPr>
    </w:lvl>
    <w:lvl w:ilvl="2">
      <w:start w:val="1"/>
      <w:numFmt w:val="bullet"/>
      <w:lvlText w:val=""/>
      <w:lvlJc w:val="left"/>
      <w:pPr>
        <w:ind w:left="2427" w:hanging="164"/>
      </w:pPr>
      <w:rPr>
        <w:rFonts w:ascii="Symbol" w:hAnsi="Symbol" w:cs="Symbol" w:hint="default"/>
        <w:lang w:val="it-IT" w:eastAsia="en-US" w:bidi="ar-SA"/>
      </w:rPr>
    </w:lvl>
    <w:lvl w:ilvl="3">
      <w:start w:val="1"/>
      <w:numFmt w:val="bullet"/>
      <w:lvlText w:val=""/>
      <w:lvlJc w:val="left"/>
      <w:pPr>
        <w:ind w:left="3431" w:hanging="164"/>
      </w:pPr>
      <w:rPr>
        <w:rFonts w:ascii="Symbol" w:hAnsi="Symbol" w:cs="Symbol" w:hint="default"/>
        <w:lang w:val="it-IT" w:eastAsia="en-US" w:bidi="ar-SA"/>
      </w:rPr>
    </w:lvl>
    <w:lvl w:ilvl="4">
      <w:start w:val="1"/>
      <w:numFmt w:val="bullet"/>
      <w:lvlText w:val=""/>
      <w:lvlJc w:val="left"/>
      <w:pPr>
        <w:ind w:left="4435" w:hanging="164"/>
      </w:pPr>
      <w:rPr>
        <w:rFonts w:ascii="Symbol" w:hAnsi="Symbol" w:cs="Symbol" w:hint="default"/>
        <w:lang w:val="it-IT" w:eastAsia="en-US" w:bidi="ar-SA"/>
      </w:rPr>
    </w:lvl>
    <w:lvl w:ilvl="5">
      <w:start w:val="1"/>
      <w:numFmt w:val="bullet"/>
      <w:lvlText w:val=""/>
      <w:lvlJc w:val="left"/>
      <w:pPr>
        <w:ind w:left="5439" w:hanging="164"/>
      </w:pPr>
      <w:rPr>
        <w:rFonts w:ascii="Symbol" w:hAnsi="Symbol" w:cs="Symbol" w:hint="default"/>
        <w:lang w:val="it-IT" w:eastAsia="en-US" w:bidi="ar-SA"/>
      </w:rPr>
    </w:lvl>
    <w:lvl w:ilvl="6">
      <w:start w:val="1"/>
      <w:numFmt w:val="bullet"/>
      <w:lvlText w:val=""/>
      <w:lvlJc w:val="left"/>
      <w:pPr>
        <w:ind w:left="6443" w:hanging="164"/>
      </w:pPr>
      <w:rPr>
        <w:rFonts w:ascii="Symbol" w:hAnsi="Symbol" w:cs="Symbol" w:hint="default"/>
        <w:lang w:val="it-IT" w:eastAsia="en-US" w:bidi="ar-SA"/>
      </w:rPr>
    </w:lvl>
    <w:lvl w:ilvl="7">
      <w:start w:val="1"/>
      <w:numFmt w:val="bullet"/>
      <w:lvlText w:val=""/>
      <w:lvlJc w:val="left"/>
      <w:pPr>
        <w:ind w:left="7447" w:hanging="164"/>
      </w:pPr>
      <w:rPr>
        <w:rFonts w:ascii="Symbol" w:hAnsi="Symbol" w:cs="Symbol" w:hint="default"/>
        <w:lang w:val="it-IT" w:eastAsia="en-US" w:bidi="ar-SA"/>
      </w:rPr>
    </w:lvl>
    <w:lvl w:ilvl="8">
      <w:start w:val="1"/>
      <w:numFmt w:val="bullet"/>
      <w:lvlText w:val=""/>
      <w:lvlJc w:val="left"/>
      <w:pPr>
        <w:ind w:left="8451" w:hanging="164"/>
      </w:pPr>
      <w:rPr>
        <w:rFonts w:ascii="Symbol" w:hAnsi="Symbol" w:cs="Symbol" w:hint="default"/>
        <w:lang w:val="it-IT" w:eastAsia="en-US" w:bidi="ar-SA"/>
      </w:rPr>
    </w:lvl>
  </w:abstractNum>
  <w:abstractNum w:abstractNumId="31">
    <w:lvl w:ilvl="0">
      <w:start w:val="1"/>
      <w:numFmt w:val="decimal"/>
      <w:lvlText w:val="%1."/>
      <w:lvlJc w:val="left"/>
      <w:pPr>
        <w:ind w:left="312" w:hanging="0"/>
      </w:pPr>
      <w:rPr>
        <w:sz w:val="24"/>
        <w:spacing w:val="-2"/>
        <w:b/>
        <w:szCs w:val="18"/>
        <w:w w:val="96"/>
        <w:rFonts w:ascii="Centaur" w:hAnsi="Centaur" w:eastAsia="Microsoft Sans Serif" w:cs="Microsoft Sans Serif"/>
        <w:lang w:val="it-IT" w:eastAsia="en-US" w:bidi="ar-SA"/>
      </w:rPr>
    </w:lvl>
    <w:lvl w:ilvl="1">
      <w:start w:val="1"/>
      <w:numFmt w:val="lowerLetter"/>
      <w:lvlText w:val="%2."/>
      <w:lvlJc w:val="left"/>
      <w:pPr>
        <w:ind w:left="312" w:hanging="0"/>
      </w:pPr>
      <w:rPr>
        <w:sz w:val="24"/>
        <w:spacing w:val="0"/>
        <w:b/>
        <w:szCs w:val="20"/>
        <w:w w:val="96"/>
        <w:rFonts w:ascii="Centaur" w:hAnsi="Centaur" w:eastAsia="Microsoft Sans Serif" w:cs="Microsoft Sans Serif"/>
        <w:lang w:val="it-IT" w:eastAsia="en-US" w:bidi="ar-SA"/>
      </w:rPr>
    </w:lvl>
    <w:lvl w:ilvl="2">
      <w:start w:val="1"/>
      <w:numFmt w:val="bullet"/>
      <w:lvlText w:val=""/>
      <w:lvlJc w:val="left"/>
      <w:pPr>
        <w:ind w:left="2347" w:hanging="0"/>
      </w:pPr>
      <w:rPr>
        <w:rFonts w:ascii="Symbol" w:hAnsi="Symbol" w:cs="Symbol" w:hint="default"/>
        <w:lang w:val="it-IT" w:eastAsia="en-US" w:bidi="ar-SA"/>
      </w:rPr>
    </w:lvl>
    <w:lvl w:ilvl="3">
      <w:start w:val="1"/>
      <w:numFmt w:val="bullet"/>
      <w:lvlText w:val=""/>
      <w:lvlJc w:val="left"/>
      <w:pPr>
        <w:ind w:left="3361" w:hanging="0"/>
      </w:pPr>
      <w:rPr>
        <w:rFonts w:ascii="Symbol" w:hAnsi="Symbol" w:cs="Symbol" w:hint="default"/>
        <w:lang w:val="it-IT" w:eastAsia="en-US" w:bidi="ar-SA"/>
      </w:rPr>
    </w:lvl>
    <w:lvl w:ilvl="4">
      <w:start w:val="1"/>
      <w:numFmt w:val="bullet"/>
      <w:lvlText w:val=""/>
      <w:lvlJc w:val="left"/>
      <w:pPr>
        <w:ind w:left="4375" w:hanging="0"/>
      </w:pPr>
      <w:rPr>
        <w:rFonts w:ascii="Symbol" w:hAnsi="Symbol" w:cs="Symbol" w:hint="default"/>
        <w:lang w:val="it-IT" w:eastAsia="en-US" w:bidi="ar-SA"/>
      </w:rPr>
    </w:lvl>
    <w:lvl w:ilvl="5">
      <w:start w:val="1"/>
      <w:numFmt w:val="bullet"/>
      <w:lvlText w:val=""/>
      <w:lvlJc w:val="left"/>
      <w:pPr>
        <w:ind w:left="5389" w:hanging="0"/>
      </w:pPr>
      <w:rPr>
        <w:rFonts w:ascii="Symbol" w:hAnsi="Symbol" w:cs="Symbol" w:hint="default"/>
        <w:lang w:val="it-IT" w:eastAsia="en-US" w:bidi="ar-SA"/>
      </w:rPr>
    </w:lvl>
    <w:lvl w:ilvl="6">
      <w:start w:val="1"/>
      <w:numFmt w:val="bullet"/>
      <w:lvlText w:val=""/>
      <w:lvlJc w:val="left"/>
      <w:pPr>
        <w:ind w:left="6403" w:hanging="0"/>
      </w:pPr>
      <w:rPr>
        <w:rFonts w:ascii="Symbol" w:hAnsi="Symbol" w:cs="Symbol" w:hint="default"/>
        <w:lang w:val="it-IT" w:eastAsia="en-US" w:bidi="ar-SA"/>
      </w:rPr>
    </w:lvl>
    <w:lvl w:ilvl="7">
      <w:start w:val="1"/>
      <w:numFmt w:val="bullet"/>
      <w:lvlText w:val=""/>
      <w:lvlJc w:val="left"/>
      <w:pPr>
        <w:ind w:left="7417" w:hanging="0"/>
      </w:pPr>
      <w:rPr>
        <w:rFonts w:ascii="Symbol" w:hAnsi="Symbol" w:cs="Symbol" w:hint="default"/>
        <w:lang w:val="it-IT" w:eastAsia="en-US" w:bidi="ar-SA"/>
      </w:rPr>
    </w:lvl>
    <w:lvl w:ilvl="8">
      <w:start w:val="1"/>
      <w:numFmt w:val="bullet"/>
      <w:lvlText w:val=""/>
      <w:lvlJc w:val="left"/>
      <w:pPr>
        <w:ind w:left="8431" w:hanging="0"/>
      </w:pPr>
      <w:rPr>
        <w:rFonts w:ascii="Symbol" w:hAnsi="Symbol" w:cs="Symbol" w:hint="default"/>
        <w:lang w:val="it-IT" w:eastAsia="en-US" w:bidi="ar-SA"/>
      </w:rPr>
    </w:lvl>
  </w:abstractNum>
  <w:abstractNum w:abstractNumId="32">
    <w:lvl w:ilvl="0">
      <w:start w:val="1"/>
      <w:numFmt w:val="decimal"/>
      <w:lvlText w:val="%1."/>
      <w:lvlJc w:val="left"/>
      <w:pPr>
        <w:ind w:left="534" w:hanging="0"/>
      </w:pPr>
      <w:rPr>
        <w:sz w:val="24"/>
        <w:spacing w:val="0"/>
        <w:b/>
        <w:szCs w:val="20"/>
        <w:w w:val="96"/>
        <w:rFonts w:ascii="Centaur" w:hAnsi="Centaur" w:eastAsia="Microsoft Sans Serif" w:cs="Microsoft Sans Serif"/>
        <w:lang w:val="it-IT" w:eastAsia="en-US" w:bidi="ar-SA"/>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bullet"/>
      <w:lvlText w:val="-"/>
      <w:lvlJc w:val="left"/>
      <w:pPr>
        <w:ind w:left="1117" w:hanging="0"/>
      </w:pPr>
      <w:rPr>
        <w:rFonts w:ascii="Times New Roman" w:hAnsi="Times New Roman" w:cs="Times New Roman" w:hint="default"/>
        <w:sz w:val="24"/>
        <w:b/>
        <w:szCs w:val="21"/>
        <w:w w:val="100"/>
        <w:rFonts w:cs="Times New Roman"/>
        <w:lang w:val="it-IT" w:eastAsia="en-US" w:bidi="ar-SA"/>
      </w:rPr>
    </w:lvl>
    <w:lvl w:ilvl="4">
      <w:start w:val="1"/>
      <w:numFmt w:val="bullet"/>
      <w:lvlText w:val=""/>
      <w:lvlJc w:val="left"/>
      <w:pPr>
        <w:ind w:left="1178" w:hanging="0"/>
      </w:pPr>
      <w:rPr>
        <w:rFonts w:ascii="Symbol" w:hAnsi="Symbol" w:cs="Symbol" w:hint="default"/>
        <w:lang w:val="it-IT" w:eastAsia="en-US" w:bidi="ar-SA"/>
      </w:rPr>
    </w:lvl>
    <w:lvl w:ilvl="5">
      <w:start w:val="1"/>
      <w:numFmt w:val="bullet"/>
      <w:lvlText w:val=""/>
      <w:lvlJc w:val="left"/>
      <w:pPr>
        <w:ind w:left="1236" w:hanging="0"/>
      </w:pPr>
      <w:rPr>
        <w:rFonts w:ascii="Symbol" w:hAnsi="Symbol" w:cs="Symbol" w:hint="default"/>
        <w:lang w:val="it-IT" w:eastAsia="en-US" w:bidi="ar-SA"/>
      </w:rPr>
    </w:lvl>
    <w:lvl w:ilvl="6">
      <w:start w:val="1"/>
      <w:numFmt w:val="bullet"/>
      <w:lvlText w:val=""/>
      <w:lvlJc w:val="left"/>
      <w:pPr>
        <w:ind w:left="1294" w:hanging="0"/>
      </w:pPr>
      <w:rPr>
        <w:rFonts w:ascii="Symbol" w:hAnsi="Symbol" w:cs="Symbol" w:hint="default"/>
        <w:lang w:val="it-IT" w:eastAsia="en-US" w:bidi="ar-SA"/>
      </w:rPr>
    </w:lvl>
    <w:lvl w:ilvl="7">
      <w:start w:val="1"/>
      <w:numFmt w:val="bullet"/>
      <w:lvlText w:val=""/>
      <w:lvlJc w:val="left"/>
      <w:pPr>
        <w:ind w:left="1352" w:hanging="0"/>
      </w:pPr>
      <w:rPr>
        <w:rFonts w:ascii="Symbol" w:hAnsi="Symbol" w:cs="Symbol" w:hint="default"/>
        <w:lang w:val="it-IT" w:eastAsia="en-US" w:bidi="ar-SA"/>
      </w:rPr>
    </w:lvl>
    <w:lvl w:ilvl="8">
      <w:start w:val="1"/>
      <w:numFmt w:val="bullet"/>
      <w:lvlText w:val=""/>
      <w:lvlJc w:val="left"/>
      <w:pPr>
        <w:ind w:left="1410" w:hanging="0"/>
      </w:pPr>
      <w:rPr>
        <w:rFonts w:ascii="Symbol" w:hAnsi="Symbol" w:cs="Symbol" w:hint="default"/>
        <w:lang w:val="it-IT" w:eastAsia="en-US" w:bidi="ar-SA"/>
      </w:rPr>
    </w:lvl>
  </w:abstractNum>
  <w:abstractNum w:abstractNumId="3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96"/>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b337c"/>
    <w:pPr>
      <w:widowControl/>
      <w:suppressAutoHyphens w:val="true"/>
      <w:overflowPunct w:val="true"/>
      <w:bidi w:val="0"/>
      <w:jc w:val="left"/>
      <w:textAlignment w:val="baseline"/>
    </w:pPr>
    <w:rPr>
      <w:rFonts w:ascii="Times New Roman" w:hAnsi="Times New Roman" w:eastAsia="Times New Roman" w:cs="Times New Roman"/>
      <w:color w:val="auto"/>
      <w:kern w:val="0"/>
      <w:sz w:val="20"/>
      <w:szCs w:val="20"/>
      <w:lang w:eastAsia="zh-CN" w:val="it-IT" w:bidi="ar-SA"/>
    </w:rPr>
  </w:style>
  <w:style w:type="paragraph" w:styleId="Titolo1">
    <w:name w:val="Heading 1"/>
    <w:basedOn w:val="Normal"/>
    <w:link w:val="Titolo1Carattere"/>
    <w:uiPriority w:val="1"/>
    <w:qFormat/>
    <w:pPr>
      <w:keepNext w:val="true"/>
      <w:jc w:val="both"/>
      <w:outlineLvl w:val="0"/>
    </w:pPr>
    <w:rPr>
      <w:rFonts w:ascii="Amazone BT" w:hAnsi="Amazone BT"/>
      <w:sz w:val="28"/>
    </w:rPr>
  </w:style>
  <w:style w:type="paragraph" w:styleId="Titolo2">
    <w:name w:val="Heading 2"/>
    <w:basedOn w:val="Normal"/>
    <w:qFormat/>
    <w:pPr>
      <w:keepNext w:val="true"/>
      <w:jc w:val="center"/>
      <w:outlineLvl w:val="1"/>
    </w:pPr>
    <w:rPr>
      <w:rFonts w:ascii="Amazone BT" w:hAnsi="Amazone BT"/>
      <w:sz w:val="28"/>
    </w:rPr>
  </w:style>
  <w:style w:type="paragraph" w:styleId="Titolo3">
    <w:name w:val="Heading 3"/>
    <w:basedOn w:val="Normal"/>
    <w:qFormat/>
    <w:pPr>
      <w:keepNext w:val="true"/>
      <w:jc w:val="center"/>
      <w:outlineLvl w:val="2"/>
    </w:pPr>
    <w:rPr>
      <w:rFonts w:ascii="Palace Script MT" w:hAnsi="Palace Script MT"/>
      <w:b/>
      <w:bCs/>
      <w:sz w:val="72"/>
      <w:szCs w:val="72"/>
    </w:rPr>
  </w:style>
  <w:style w:type="paragraph" w:styleId="Titolo4">
    <w:name w:val="Heading 4"/>
    <w:basedOn w:val="Normal"/>
    <w:qFormat/>
    <w:pPr>
      <w:keepNext w:val="true"/>
      <w:ind w:left="4680" w:hanging="0"/>
      <w:outlineLvl w:val="3"/>
    </w:pPr>
    <w:rPr>
      <w:b/>
      <w:bCs/>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CollegamentoInternet">
    <w:name w:val="Collegamento Internet"/>
    <w:uiPriority w:val="99"/>
    <w:rsid w:val="009c285e"/>
    <w:rPr>
      <w:color w:val="0000FF"/>
      <w:u w:val="single"/>
    </w:rPr>
  </w:style>
  <w:style w:type="character" w:styleId="IntestazioneCarattere" w:customStyle="1">
    <w:name w:val="Intestazione Carattere"/>
    <w:basedOn w:val="DefaultParagraphFont"/>
    <w:link w:val="Intestazione"/>
    <w:uiPriority w:val="99"/>
    <w:qFormat/>
    <w:rsid w:val="002f65c6"/>
    <w:rPr>
      <w:rFonts w:ascii="Centaur" w:hAnsi="Centaur"/>
      <w:sz w:val="22"/>
      <w:szCs w:val="24"/>
    </w:rPr>
  </w:style>
  <w:style w:type="character" w:styleId="CorpotestoCarattere" w:customStyle="1">
    <w:name w:val="Corpo testo Carattere"/>
    <w:basedOn w:val="DefaultParagraphFont"/>
    <w:link w:val="Corpotesto"/>
    <w:uiPriority w:val="1"/>
    <w:qFormat/>
    <w:rsid w:val="00194289"/>
    <w:rPr>
      <w:rFonts w:ascii="Cambria" w:hAnsi="Cambria" w:eastAsia="Cambria" w:cs="Cambria"/>
      <w:sz w:val="24"/>
      <w:szCs w:val="24"/>
      <w:lang w:eastAsia="en-US"/>
    </w:rPr>
  </w:style>
  <w:style w:type="character" w:styleId="TitoloCarattere" w:customStyle="1">
    <w:name w:val="Titolo Carattere"/>
    <w:basedOn w:val="DefaultParagraphFont"/>
    <w:link w:val="Titolo"/>
    <w:uiPriority w:val="1"/>
    <w:qFormat/>
    <w:rsid w:val="00194289"/>
    <w:rPr>
      <w:rFonts w:ascii="Cambria" w:hAnsi="Cambria" w:eastAsia="Cambria" w:cs="Cambria"/>
      <w:b/>
      <w:bCs/>
      <w:sz w:val="36"/>
      <w:szCs w:val="36"/>
      <w:lang w:eastAsia="en-US"/>
    </w:rPr>
  </w:style>
  <w:style w:type="character" w:styleId="TestofumettoCarattere" w:customStyle="1">
    <w:name w:val="Testo fumetto Carattere"/>
    <w:basedOn w:val="DefaultParagraphFont"/>
    <w:link w:val="Testofumetto"/>
    <w:uiPriority w:val="99"/>
    <w:semiHidden/>
    <w:qFormat/>
    <w:rsid w:val="00194289"/>
    <w:rPr>
      <w:rFonts w:ascii="Tahoma" w:hAnsi="Tahoma" w:cs="Tahoma"/>
      <w:sz w:val="16"/>
      <w:szCs w:val="16"/>
      <w:lang w:eastAsia="zh-CN"/>
    </w:rPr>
  </w:style>
  <w:style w:type="character" w:styleId="UnresolvedMention">
    <w:name w:val="Unresolved Mention"/>
    <w:basedOn w:val="DefaultParagraphFont"/>
    <w:uiPriority w:val="99"/>
    <w:semiHidden/>
    <w:unhideWhenUsed/>
    <w:qFormat/>
    <w:rsid w:val="00194289"/>
    <w:rPr>
      <w:color w:val="605E5C"/>
      <w:shd w:fill="E1DFDD" w:val="clear"/>
    </w:rPr>
  </w:style>
  <w:style w:type="character" w:styleId="TestonotaapidipaginaCarattere" w:customStyle="1">
    <w:name w:val="Testo nota a piè di pagina Carattere"/>
    <w:basedOn w:val="DefaultParagraphFont"/>
    <w:link w:val="Testonotaapidipagina"/>
    <w:semiHidden/>
    <w:qFormat/>
    <w:rsid w:val="004d0ce6"/>
    <w:rPr>
      <w:lang w:eastAsia="zh-CN"/>
    </w:rPr>
  </w:style>
  <w:style w:type="character" w:styleId="Titolo1Carattere" w:customStyle="1">
    <w:name w:val="Titolo 1 Carattere"/>
    <w:basedOn w:val="DefaultParagraphFont"/>
    <w:link w:val="Titolo1"/>
    <w:uiPriority w:val="1"/>
    <w:qFormat/>
    <w:rsid w:val="003315d9"/>
    <w:rPr>
      <w:rFonts w:ascii="Amazone BT" w:hAnsi="Amazone BT"/>
      <w:sz w:val="28"/>
      <w:lang w:eastAsia="zh-CN"/>
    </w:rPr>
  </w:style>
  <w:style w:type="character" w:styleId="PidipaginaCarattere" w:customStyle="1">
    <w:name w:val="Piè di pagina Carattere"/>
    <w:basedOn w:val="DefaultParagraphFont"/>
    <w:link w:val="Pidipagina"/>
    <w:uiPriority w:val="99"/>
    <w:qFormat/>
    <w:rsid w:val="003315d9"/>
    <w:rPr>
      <w:lang w:eastAsia="zh-CN"/>
    </w:rPr>
  </w:style>
  <w:style w:type="character" w:styleId="ListLabel1">
    <w:name w:val="ListLabel 1"/>
    <w:qFormat/>
    <w:rPr>
      <w:rFonts w:cs="Centaur"/>
      <w:i/>
      <w:sz w:val="22"/>
      <w:szCs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mbria" w:cs="Cambria"/>
      <w:spacing w:val="0"/>
      <w:w w:val="100"/>
      <w:lang w:val="it-IT" w:eastAsia="en-US" w:bidi="ar-SA"/>
    </w:rPr>
  </w:style>
  <w:style w:type="character" w:styleId="ListLabel6">
    <w:name w:val="ListLabel 6"/>
    <w:qFormat/>
    <w:rPr>
      <w:lang w:val="it-IT" w:eastAsia="en-US" w:bidi="ar-SA"/>
    </w:rPr>
  </w:style>
  <w:style w:type="character" w:styleId="ListLabel7">
    <w:name w:val="ListLabel 7"/>
    <w:qFormat/>
    <w:rPr>
      <w:lang w:val="it-IT" w:eastAsia="en-US" w:bidi="ar-SA"/>
    </w:rPr>
  </w:style>
  <w:style w:type="character" w:styleId="ListLabel8">
    <w:name w:val="ListLabel 8"/>
    <w:qFormat/>
    <w:rPr>
      <w:lang w:val="it-IT" w:eastAsia="en-US" w:bidi="ar-SA"/>
    </w:rPr>
  </w:style>
  <w:style w:type="character" w:styleId="ListLabel9">
    <w:name w:val="ListLabel 9"/>
    <w:qFormat/>
    <w:rPr>
      <w:lang w:val="it-IT" w:eastAsia="en-US" w:bidi="ar-SA"/>
    </w:rPr>
  </w:style>
  <w:style w:type="character" w:styleId="ListLabel10">
    <w:name w:val="ListLabel 10"/>
    <w:qFormat/>
    <w:rPr>
      <w:lang w:val="it-IT" w:eastAsia="en-US" w:bidi="ar-SA"/>
    </w:rPr>
  </w:style>
  <w:style w:type="character" w:styleId="ListLabel11">
    <w:name w:val="ListLabel 11"/>
    <w:qFormat/>
    <w:rPr>
      <w:lang w:val="it-IT" w:eastAsia="en-US" w:bidi="ar-SA"/>
    </w:rPr>
  </w:style>
  <w:style w:type="character" w:styleId="ListLabel12">
    <w:name w:val="ListLabel 12"/>
    <w:qFormat/>
    <w:rPr>
      <w:lang w:val="it-IT" w:eastAsia="en-US" w:bidi="ar-SA"/>
    </w:rPr>
  </w:style>
  <w:style w:type="character" w:styleId="ListLabel13">
    <w:name w:val="ListLabel 13"/>
    <w:qFormat/>
    <w:rPr>
      <w:lang w:val="it-IT" w:eastAsia="en-US" w:bidi="ar-SA"/>
    </w:rPr>
  </w:style>
  <w:style w:type="character" w:styleId="ListLabel14">
    <w:name w:val="ListLabel 14"/>
    <w:qFormat/>
    <w:rPr>
      <w:rFonts w:eastAsia="Times New Roman" w:cs="Times New Roman"/>
      <w:b/>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Sitka Banner" w:cs="Sitka Banner"/>
      <w:w w:val="100"/>
      <w:sz w:val="22"/>
      <w:szCs w:val="22"/>
      <w:lang w:val="it-IT" w:eastAsia="en-US" w:bidi="ar-SA"/>
    </w:rPr>
  </w:style>
  <w:style w:type="character" w:styleId="ListLabel31">
    <w:name w:val="ListLabel 31"/>
    <w:qFormat/>
    <w:rPr>
      <w:lang w:val="it-IT" w:eastAsia="en-US" w:bidi="ar-SA"/>
    </w:rPr>
  </w:style>
  <w:style w:type="character" w:styleId="ListLabel32">
    <w:name w:val="ListLabel 32"/>
    <w:qFormat/>
    <w:rPr>
      <w:lang w:val="it-IT" w:eastAsia="en-US" w:bidi="ar-SA"/>
    </w:rPr>
  </w:style>
  <w:style w:type="character" w:styleId="ListLabel33">
    <w:name w:val="ListLabel 33"/>
    <w:qFormat/>
    <w:rPr>
      <w:lang w:val="it-IT" w:eastAsia="en-US" w:bidi="ar-SA"/>
    </w:rPr>
  </w:style>
  <w:style w:type="character" w:styleId="ListLabel34">
    <w:name w:val="ListLabel 34"/>
    <w:qFormat/>
    <w:rPr>
      <w:lang w:val="it-IT" w:eastAsia="en-US" w:bidi="ar-SA"/>
    </w:rPr>
  </w:style>
  <w:style w:type="character" w:styleId="ListLabel35">
    <w:name w:val="ListLabel 35"/>
    <w:qFormat/>
    <w:rPr>
      <w:lang w:val="it-IT" w:eastAsia="en-US" w:bidi="ar-SA"/>
    </w:rPr>
  </w:style>
  <w:style w:type="character" w:styleId="ListLabel36">
    <w:name w:val="ListLabel 36"/>
    <w:qFormat/>
    <w:rPr>
      <w:lang w:val="it-IT" w:eastAsia="en-US" w:bidi="ar-SA"/>
    </w:rPr>
  </w:style>
  <w:style w:type="character" w:styleId="ListLabel37">
    <w:name w:val="ListLabel 37"/>
    <w:qFormat/>
    <w:rPr>
      <w:lang w:val="it-IT" w:eastAsia="en-US" w:bidi="ar-SA"/>
    </w:rPr>
  </w:style>
  <w:style w:type="character" w:styleId="ListLabel38">
    <w:name w:val="ListLabel 38"/>
    <w:qFormat/>
    <w:rPr>
      <w:lang w:val="it-IT" w:eastAsia="en-US" w:bidi="ar-SA"/>
    </w:rPr>
  </w:style>
  <w:style w:type="character" w:styleId="ListLabel39">
    <w:name w:val="ListLabel 39"/>
    <w:qFormat/>
    <w:rPr>
      <w:rFonts w:eastAsia="Cambria" w:cs="Cambria"/>
      <w:spacing w:val="0"/>
      <w:w w:val="100"/>
      <w:lang w:val="it-IT" w:eastAsia="en-US" w:bidi="ar-SA"/>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eastAsia="Cambria" w:cs="Cambria"/>
      <w:spacing w:val="0"/>
      <w:w w:val="100"/>
      <w:lang w:val="it-IT" w:eastAsia="en-US" w:bidi="ar-SA"/>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eastAsia="Cambria" w:cs="Cambria"/>
      <w:spacing w:val="0"/>
      <w:w w:val="100"/>
      <w:lang w:val="it-IT" w:eastAsia="en-US" w:bidi="ar-SA"/>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eastAsia="Cambria" w:cs="Cambria"/>
      <w:spacing w:val="0"/>
      <w:w w:val="100"/>
      <w:lang w:val="it-IT" w:eastAsia="en-US" w:bidi="ar-SA"/>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eastAsia="Times New Roman" w:cs="Arial"/>
    </w:rPr>
  </w:style>
  <w:style w:type="character" w:styleId="ListLabel71">
    <w:name w:val="ListLabel 71"/>
    <w:qFormat/>
    <w:rPr>
      <w:rFonts w:eastAsia="Times New Roman" w:cs="Times New Roman"/>
      <w:w w:val="100"/>
      <w:sz w:val="22"/>
      <w:szCs w:val="22"/>
      <w:lang w:val="it-IT" w:eastAsia="en-US" w:bidi="ar-SA"/>
    </w:rPr>
  </w:style>
  <w:style w:type="character" w:styleId="ListLabel72">
    <w:name w:val="ListLabel 72"/>
    <w:qFormat/>
    <w:rPr>
      <w:rFonts w:eastAsia="Arial MT" w:cs="Arial MT"/>
      <w:w w:val="100"/>
      <w:sz w:val="22"/>
      <w:szCs w:val="22"/>
      <w:lang w:val="it-IT" w:eastAsia="en-US" w:bidi="ar-SA"/>
    </w:rPr>
  </w:style>
  <w:style w:type="character" w:styleId="ListLabel73">
    <w:name w:val="ListLabel 73"/>
    <w:qFormat/>
    <w:rPr>
      <w:lang w:val="it-IT" w:eastAsia="en-US" w:bidi="ar-SA"/>
    </w:rPr>
  </w:style>
  <w:style w:type="character" w:styleId="ListLabel74">
    <w:name w:val="ListLabel 74"/>
    <w:qFormat/>
    <w:rPr>
      <w:lang w:val="it-IT" w:eastAsia="en-US" w:bidi="ar-SA"/>
    </w:rPr>
  </w:style>
  <w:style w:type="character" w:styleId="ListLabel75">
    <w:name w:val="ListLabel 75"/>
    <w:qFormat/>
    <w:rPr>
      <w:lang w:val="it-IT" w:eastAsia="en-US" w:bidi="ar-SA"/>
    </w:rPr>
  </w:style>
  <w:style w:type="character" w:styleId="ListLabel76">
    <w:name w:val="ListLabel 76"/>
    <w:qFormat/>
    <w:rPr>
      <w:lang w:val="it-IT" w:eastAsia="en-US" w:bidi="ar-SA"/>
    </w:rPr>
  </w:style>
  <w:style w:type="character" w:styleId="ListLabel77">
    <w:name w:val="ListLabel 77"/>
    <w:qFormat/>
    <w:rPr>
      <w:lang w:val="it-IT" w:eastAsia="en-US" w:bidi="ar-SA"/>
    </w:rPr>
  </w:style>
  <w:style w:type="character" w:styleId="ListLabel78">
    <w:name w:val="ListLabel 78"/>
    <w:qFormat/>
    <w:rPr>
      <w:lang w:val="it-IT" w:eastAsia="en-US" w:bidi="ar-SA"/>
    </w:rPr>
  </w:style>
  <w:style w:type="character" w:styleId="ListLabel79">
    <w:name w:val="ListLabel 79"/>
    <w:qFormat/>
    <w:rPr>
      <w:lang w:val="it-IT" w:eastAsia="en-US" w:bidi="ar-SA"/>
    </w:rPr>
  </w:style>
  <w:style w:type="character" w:styleId="ListLabel80">
    <w:name w:val="ListLabel 80"/>
    <w:qFormat/>
    <w:rPr>
      <w:rFonts w:ascii="Centaur" w:hAnsi="Centaur" w:eastAsia="Times New Roman" w:cs="Times New Roman"/>
      <w:b/>
      <w:w w:val="100"/>
      <w:sz w:val="24"/>
      <w:szCs w:val="22"/>
      <w:lang w:val="it-IT" w:eastAsia="en-US" w:bidi="ar-SA"/>
    </w:rPr>
  </w:style>
  <w:style w:type="character" w:styleId="ListLabel81">
    <w:name w:val="ListLabel 81"/>
    <w:qFormat/>
    <w:rPr>
      <w:rFonts w:ascii="Centaur" w:hAnsi="Centaur" w:eastAsia="Arial MT" w:cs="Arial MT"/>
      <w:b/>
      <w:w w:val="100"/>
      <w:sz w:val="24"/>
      <w:szCs w:val="22"/>
      <w:lang w:val="it-IT" w:eastAsia="en-US" w:bidi="ar-SA"/>
    </w:rPr>
  </w:style>
  <w:style w:type="character" w:styleId="ListLabel82">
    <w:name w:val="ListLabel 82"/>
    <w:qFormat/>
    <w:rPr>
      <w:lang w:val="it-IT" w:eastAsia="en-US" w:bidi="ar-SA"/>
    </w:rPr>
  </w:style>
  <w:style w:type="character" w:styleId="ListLabel83">
    <w:name w:val="ListLabel 83"/>
    <w:qFormat/>
    <w:rPr>
      <w:lang w:val="it-IT" w:eastAsia="en-US" w:bidi="ar-SA"/>
    </w:rPr>
  </w:style>
  <w:style w:type="character" w:styleId="ListLabel84">
    <w:name w:val="ListLabel 84"/>
    <w:qFormat/>
    <w:rPr>
      <w:lang w:val="it-IT" w:eastAsia="en-US" w:bidi="ar-SA"/>
    </w:rPr>
  </w:style>
  <w:style w:type="character" w:styleId="ListLabel85">
    <w:name w:val="ListLabel 85"/>
    <w:qFormat/>
    <w:rPr>
      <w:lang w:val="it-IT" w:eastAsia="en-US" w:bidi="ar-SA"/>
    </w:rPr>
  </w:style>
  <w:style w:type="character" w:styleId="ListLabel86">
    <w:name w:val="ListLabel 86"/>
    <w:qFormat/>
    <w:rPr>
      <w:lang w:val="it-IT" w:eastAsia="en-US" w:bidi="ar-SA"/>
    </w:rPr>
  </w:style>
  <w:style w:type="character" w:styleId="ListLabel87">
    <w:name w:val="ListLabel 87"/>
    <w:qFormat/>
    <w:rPr>
      <w:lang w:val="it-IT" w:eastAsia="en-US" w:bidi="ar-SA"/>
    </w:rPr>
  </w:style>
  <w:style w:type="character" w:styleId="ListLabel88">
    <w:name w:val="ListLabel 88"/>
    <w:qFormat/>
    <w:rPr>
      <w:lang w:val="it-IT" w:eastAsia="en-US" w:bidi="ar-SA"/>
    </w:rPr>
  </w:style>
  <w:style w:type="character" w:styleId="ListLabel89">
    <w:name w:val="ListLabel 89"/>
    <w:qFormat/>
    <w:rPr>
      <w:rFonts w:eastAsia="Microsoft Sans Serif" w:cs="Microsoft Sans Serif"/>
      <w:spacing w:val="0"/>
      <w:w w:val="96"/>
      <w:sz w:val="20"/>
      <w:szCs w:val="20"/>
      <w:lang w:val="it-IT" w:eastAsia="en-US" w:bidi="ar-SA"/>
    </w:rPr>
  </w:style>
  <w:style w:type="character" w:styleId="ListLabel90">
    <w:name w:val="ListLabel 90"/>
    <w:qFormat/>
    <w:rPr>
      <w:lang w:val="it-IT" w:eastAsia="en-US" w:bidi="ar-SA"/>
    </w:rPr>
  </w:style>
  <w:style w:type="character" w:styleId="ListLabel91">
    <w:name w:val="ListLabel 91"/>
    <w:qFormat/>
    <w:rPr>
      <w:lang w:val="it-IT" w:eastAsia="en-US" w:bidi="ar-SA"/>
    </w:rPr>
  </w:style>
  <w:style w:type="character" w:styleId="ListLabel92">
    <w:name w:val="ListLabel 92"/>
    <w:qFormat/>
    <w:rPr>
      <w:lang w:val="it-IT" w:eastAsia="en-US" w:bidi="ar-SA"/>
    </w:rPr>
  </w:style>
  <w:style w:type="character" w:styleId="ListLabel93">
    <w:name w:val="ListLabel 93"/>
    <w:qFormat/>
    <w:rPr>
      <w:lang w:val="it-IT" w:eastAsia="en-US" w:bidi="ar-SA"/>
    </w:rPr>
  </w:style>
  <w:style w:type="character" w:styleId="ListLabel94">
    <w:name w:val="ListLabel 94"/>
    <w:qFormat/>
    <w:rPr>
      <w:lang w:val="it-IT" w:eastAsia="en-US" w:bidi="ar-SA"/>
    </w:rPr>
  </w:style>
  <w:style w:type="character" w:styleId="ListLabel95">
    <w:name w:val="ListLabel 95"/>
    <w:qFormat/>
    <w:rPr>
      <w:lang w:val="it-IT" w:eastAsia="en-US" w:bidi="ar-SA"/>
    </w:rPr>
  </w:style>
  <w:style w:type="character" w:styleId="ListLabel96">
    <w:name w:val="ListLabel 96"/>
    <w:qFormat/>
    <w:rPr>
      <w:lang w:val="it-IT" w:eastAsia="en-US" w:bidi="ar-SA"/>
    </w:rPr>
  </w:style>
  <w:style w:type="character" w:styleId="ListLabel97">
    <w:name w:val="ListLabel 97"/>
    <w:qFormat/>
    <w:rPr>
      <w:lang w:val="it-IT" w:eastAsia="en-US" w:bidi="ar-SA"/>
    </w:rPr>
  </w:style>
  <w:style w:type="character" w:styleId="ListLabel98">
    <w:name w:val="ListLabel 98"/>
    <w:qFormat/>
    <w:rPr>
      <w:rFonts w:ascii="Centaur" w:hAnsi="Centaur" w:eastAsia="Microsoft Sans Serif" w:cs="Microsoft Sans Serif"/>
      <w:b/>
      <w:spacing w:val="0"/>
      <w:w w:val="96"/>
      <w:sz w:val="24"/>
      <w:szCs w:val="20"/>
      <w:lang w:val="it-IT" w:eastAsia="en-US" w:bidi="ar-SA"/>
    </w:rPr>
  </w:style>
  <w:style w:type="character" w:styleId="ListLabel99">
    <w:name w:val="ListLabel 99"/>
    <w:qFormat/>
    <w:rPr>
      <w:lang w:val="it-IT" w:eastAsia="en-US" w:bidi="ar-SA"/>
    </w:rPr>
  </w:style>
  <w:style w:type="character" w:styleId="ListLabel100">
    <w:name w:val="ListLabel 100"/>
    <w:qFormat/>
    <w:rPr>
      <w:lang w:val="it-IT" w:eastAsia="en-US" w:bidi="ar-SA"/>
    </w:rPr>
  </w:style>
  <w:style w:type="character" w:styleId="ListLabel101">
    <w:name w:val="ListLabel 101"/>
    <w:qFormat/>
    <w:rPr>
      <w:lang w:val="it-IT" w:eastAsia="en-US" w:bidi="ar-SA"/>
    </w:rPr>
  </w:style>
  <w:style w:type="character" w:styleId="ListLabel102">
    <w:name w:val="ListLabel 102"/>
    <w:qFormat/>
    <w:rPr>
      <w:lang w:val="it-IT" w:eastAsia="en-US" w:bidi="ar-SA"/>
    </w:rPr>
  </w:style>
  <w:style w:type="character" w:styleId="ListLabel103">
    <w:name w:val="ListLabel 103"/>
    <w:qFormat/>
    <w:rPr>
      <w:lang w:val="it-IT" w:eastAsia="en-US" w:bidi="ar-SA"/>
    </w:rPr>
  </w:style>
  <w:style w:type="character" w:styleId="ListLabel104">
    <w:name w:val="ListLabel 104"/>
    <w:qFormat/>
    <w:rPr>
      <w:lang w:val="it-IT" w:eastAsia="en-US" w:bidi="ar-SA"/>
    </w:rPr>
  </w:style>
  <w:style w:type="character" w:styleId="ListLabel105">
    <w:name w:val="ListLabel 105"/>
    <w:qFormat/>
    <w:rPr>
      <w:lang w:val="it-IT" w:eastAsia="en-US" w:bidi="ar-SA"/>
    </w:rPr>
  </w:style>
  <w:style w:type="character" w:styleId="ListLabel106">
    <w:name w:val="ListLabel 106"/>
    <w:qFormat/>
    <w:rPr>
      <w:lang w:val="it-IT" w:eastAsia="en-US" w:bidi="ar-SA"/>
    </w:rPr>
  </w:style>
  <w:style w:type="character" w:styleId="ListLabel107">
    <w:name w:val="ListLabel 107"/>
    <w:qFormat/>
    <w:rPr>
      <w:rFonts w:eastAsia="Microsoft Sans Serif" w:cs="Microsoft Sans Serif"/>
      <w:spacing w:val="0"/>
      <w:w w:val="96"/>
      <w:sz w:val="20"/>
      <w:szCs w:val="20"/>
      <w:lang w:val="it-IT" w:eastAsia="en-US" w:bidi="ar-SA"/>
    </w:rPr>
  </w:style>
  <w:style w:type="character" w:styleId="ListLabel108">
    <w:name w:val="ListLabel 108"/>
    <w:qFormat/>
    <w:rPr>
      <w:lang w:val="it-IT" w:eastAsia="en-US" w:bidi="ar-SA"/>
    </w:rPr>
  </w:style>
  <w:style w:type="character" w:styleId="ListLabel109">
    <w:name w:val="ListLabel 109"/>
    <w:qFormat/>
    <w:rPr>
      <w:lang w:val="it-IT" w:eastAsia="en-US" w:bidi="ar-SA"/>
    </w:rPr>
  </w:style>
  <w:style w:type="character" w:styleId="ListLabel110">
    <w:name w:val="ListLabel 110"/>
    <w:qFormat/>
    <w:rPr>
      <w:lang w:val="it-IT" w:eastAsia="en-US" w:bidi="ar-SA"/>
    </w:rPr>
  </w:style>
  <w:style w:type="character" w:styleId="ListLabel111">
    <w:name w:val="ListLabel 111"/>
    <w:qFormat/>
    <w:rPr>
      <w:lang w:val="it-IT" w:eastAsia="en-US" w:bidi="ar-SA"/>
    </w:rPr>
  </w:style>
  <w:style w:type="character" w:styleId="ListLabel112">
    <w:name w:val="ListLabel 112"/>
    <w:qFormat/>
    <w:rPr>
      <w:lang w:val="it-IT" w:eastAsia="en-US" w:bidi="ar-SA"/>
    </w:rPr>
  </w:style>
  <w:style w:type="character" w:styleId="ListLabel113">
    <w:name w:val="ListLabel 113"/>
    <w:qFormat/>
    <w:rPr>
      <w:lang w:val="it-IT" w:eastAsia="en-US" w:bidi="ar-SA"/>
    </w:rPr>
  </w:style>
  <w:style w:type="character" w:styleId="ListLabel114">
    <w:name w:val="ListLabel 114"/>
    <w:qFormat/>
    <w:rPr>
      <w:lang w:val="it-IT" w:eastAsia="en-US" w:bidi="ar-SA"/>
    </w:rPr>
  </w:style>
  <w:style w:type="character" w:styleId="ListLabel115">
    <w:name w:val="ListLabel 115"/>
    <w:qFormat/>
    <w:rPr>
      <w:lang w:val="it-IT" w:eastAsia="en-US" w:bidi="ar-SA"/>
    </w:rPr>
  </w:style>
  <w:style w:type="character" w:styleId="ListLabel116">
    <w:name w:val="ListLabel 116"/>
    <w:qFormat/>
    <w:rPr>
      <w:rFonts w:ascii="Centaur" w:hAnsi="Centaur" w:eastAsia="Microsoft Sans Serif" w:cs="Microsoft Sans Serif"/>
      <w:b/>
      <w:spacing w:val="0"/>
      <w:w w:val="96"/>
      <w:sz w:val="24"/>
      <w:szCs w:val="20"/>
      <w:lang w:val="it-IT" w:eastAsia="en-US" w:bidi="ar-SA"/>
    </w:rPr>
  </w:style>
  <w:style w:type="character" w:styleId="ListLabel117">
    <w:name w:val="ListLabel 117"/>
    <w:qFormat/>
    <w:rPr>
      <w:lang w:val="it-IT" w:eastAsia="en-US" w:bidi="ar-SA"/>
    </w:rPr>
  </w:style>
  <w:style w:type="character" w:styleId="ListLabel118">
    <w:name w:val="ListLabel 118"/>
    <w:qFormat/>
    <w:rPr>
      <w:lang w:val="it-IT" w:eastAsia="en-US" w:bidi="ar-SA"/>
    </w:rPr>
  </w:style>
  <w:style w:type="character" w:styleId="ListLabel119">
    <w:name w:val="ListLabel 119"/>
    <w:qFormat/>
    <w:rPr>
      <w:lang w:val="it-IT" w:eastAsia="en-US" w:bidi="ar-SA"/>
    </w:rPr>
  </w:style>
  <w:style w:type="character" w:styleId="ListLabel120">
    <w:name w:val="ListLabel 120"/>
    <w:qFormat/>
    <w:rPr>
      <w:lang w:val="it-IT" w:eastAsia="en-US" w:bidi="ar-SA"/>
    </w:rPr>
  </w:style>
  <w:style w:type="character" w:styleId="ListLabel121">
    <w:name w:val="ListLabel 121"/>
    <w:qFormat/>
    <w:rPr>
      <w:lang w:val="it-IT" w:eastAsia="en-US" w:bidi="ar-SA"/>
    </w:rPr>
  </w:style>
  <w:style w:type="character" w:styleId="ListLabel122">
    <w:name w:val="ListLabel 122"/>
    <w:qFormat/>
    <w:rPr>
      <w:lang w:val="it-IT" w:eastAsia="en-US" w:bidi="ar-SA"/>
    </w:rPr>
  </w:style>
  <w:style w:type="character" w:styleId="ListLabel123">
    <w:name w:val="ListLabel 123"/>
    <w:qFormat/>
    <w:rPr>
      <w:lang w:val="it-IT" w:eastAsia="en-US" w:bidi="ar-SA"/>
    </w:rPr>
  </w:style>
  <w:style w:type="character" w:styleId="ListLabel124">
    <w:name w:val="ListLabel 124"/>
    <w:qFormat/>
    <w:rPr>
      <w:lang w:val="it-IT" w:eastAsia="en-US" w:bidi="ar-SA"/>
    </w:rPr>
  </w:style>
  <w:style w:type="character" w:styleId="ListLabel125">
    <w:name w:val="ListLabel 125"/>
    <w:qFormat/>
    <w:rPr>
      <w:spacing w:val="0"/>
      <w:w w:val="96"/>
      <w:lang w:val="it-IT" w:eastAsia="en-US" w:bidi="ar-SA"/>
    </w:rPr>
  </w:style>
  <w:style w:type="character" w:styleId="ListLabel126">
    <w:name w:val="ListLabel 126"/>
    <w:qFormat/>
    <w:rPr>
      <w:lang w:val="it-IT" w:eastAsia="en-US" w:bidi="ar-SA"/>
    </w:rPr>
  </w:style>
  <w:style w:type="character" w:styleId="ListLabel127">
    <w:name w:val="ListLabel 127"/>
    <w:qFormat/>
    <w:rPr>
      <w:lang w:val="it-IT" w:eastAsia="en-US" w:bidi="ar-SA"/>
    </w:rPr>
  </w:style>
  <w:style w:type="character" w:styleId="ListLabel128">
    <w:name w:val="ListLabel 128"/>
    <w:qFormat/>
    <w:rPr>
      <w:lang w:val="it-IT" w:eastAsia="en-US" w:bidi="ar-SA"/>
    </w:rPr>
  </w:style>
  <w:style w:type="character" w:styleId="ListLabel129">
    <w:name w:val="ListLabel 129"/>
    <w:qFormat/>
    <w:rPr>
      <w:lang w:val="it-IT" w:eastAsia="en-US" w:bidi="ar-SA"/>
    </w:rPr>
  </w:style>
  <w:style w:type="character" w:styleId="ListLabel130">
    <w:name w:val="ListLabel 130"/>
    <w:qFormat/>
    <w:rPr>
      <w:lang w:val="it-IT" w:eastAsia="en-US" w:bidi="ar-SA"/>
    </w:rPr>
  </w:style>
  <w:style w:type="character" w:styleId="ListLabel131">
    <w:name w:val="ListLabel 131"/>
    <w:qFormat/>
    <w:rPr>
      <w:lang w:val="it-IT" w:eastAsia="en-US" w:bidi="ar-SA"/>
    </w:rPr>
  </w:style>
  <w:style w:type="character" w:styleId="ListLabel132">
    <w:name w:val="ListLabel 132"/>
    <w:qFormat/>
    <w:rPr>
      <w:lang w:val="it-IT" w:eastAsia="en-US" w:bidi="ar-SA"/>
    </w:rPr>
  </w:style>
  <w:style w:type="character" w:styleId="ListLabel133">
    <w:name w:val="ListLabel 133"/>
    <w:qFormat/>
    <w:rPr>
      <w:lang w:val="it-IT" w:eastAsia="en-US" w:bidi="ar-SA"/>
    </w:rPr>
  </w:style>
  <w:style w:type="character" w:styleId="ListLabel134">
    <w:name w:val="ListLabel 134"/>
    <w:qFormat/>
    <w:rPr>
      <w:rFonts w:ascii="Centaur" w:hAnsi="Centaur"/>
      <w:b/>
      <w:spacing w:val="0"/>
      <w:w w:val="96"/>
      <w:sz w:val="24"/>
      <w:lang w:val="it-IT" w:eastAsia="en-US" w:bidi="ar-SA"/>
    </w:rPr>
  </w:style>
  <w:style w:type="character" w:styleId="ListLabel135">
    <w:name w:val="ListLabel 135"/>
    <w:qFormat/>
    <w:rPr>
      <w:lang w:val="it-IT" w:eastAsia="en-US" w:bidi="ar-SA"/>
    </w:rPr>
  </w:style>
  <w:style w:type="character" w:styleId="ListLabel136">
    <w:name w:val="ListLabel 136"/>
    <w:qFormat/>
    <w:rPr>
      <w:lang w:val="it-IT" w:eastAsia="en-US" w:bidi="ar-SA"/>
    </w:rPr>
  </w:style>
  <w:style w:type="character" w:styleId="ListLabel137">
    <w:name w:val="ListLabel 137"/>
    <w:qFormat/>
    <w:rPr>
      <w:lang w:val="it-IT" w:eastAsia="en-US" w:bidi="ar-SA"/>
    </w:rPr>
  </w:style>
  <w:style w:type="character" w:styleId="ListLabel138">
    <w:name w:val="ListLabel 138"/>
    <w:qFormat/>
    <w:rPr>
      <w:lang w:val="it-IT" w:eastAsia="en-US" w:bidi="ar-SA"/>
    </w:rPr>
  </w:style>
  <w:style w:type="character" w:styleId="ListLabel139">
    <w:name w:val="ListLabel 139"/>
    <w:qFormat/>
    <w:rPr>
      <w:lang w:val="it-IT" w:eastAsia="en-US" w:bidi="ar-SA"/>
    </w:rPr>
  </w:style>
  <w:style w:type="character" w:styleId="ListLabel140">
    <w:name w:val="ListLabel 140"/>
    <w:qFormat/>
    <w:rPr>
      <w:lang w:val="it-IT" w:eastAsia="en-US" w:bidi="ar-SA"/>
    </w:rPr>
  </w:style>
  <w:style w:type="character" w:styleId="ListLabel141">
    <w:name w:val="ListLabel 141"/>
    <w:qFormat/>
    <w:rPr>
      <w:lang w:val="it-IT" w:eastAsia="en-US" w:bidi="ar-SA"/>
    </w:rPr>
  </w:style>
  <w:style w:type="character" w:styleId="ListLabel142">
    <w:name w:val="ListLabel 142"/>
    <w:qFormat/>
    <w:rPr>
      <w:lang w:val="it-IT" w:eastAsia="en-US" w:bidi="ar-SA"/>
    </w:rPr>
  </w:style>
  <w:style w:type="character" w:styleId="ListLabel143">
    <w:name w:val="ListLabel 143"/>
    <w:qFormat/>
    <w:rPr>
      <w:rFonts w:eastAsia="Microsoft Sans Serif" w:cs="Microsoft Sans Serif"/>
      <w:spacing w:val="0"/>
      <w:w w:val="96"/>
      <w:sz w:val="20"/>
      <w:szCs w:val="20"/>
      <w:lang w:val="it-IT" w:eastAsia="en-US" w:bidi="ar-SA"/>
    </w:rPr>
  </w:style>
  <w:style w:type="character" w:styleId="ListLabel144">
    <w:name w:val="ListLabel 144"/>
    <w:qFormat/>
    <w:rPr>
      <w:lang w:val="it-IT" w:eastAsia="en-US" w:bidi="ar-SA"/>
    </w:rPr>
  </w:style>
  <w:style w:type="character" w:styleId="ListLabel145">
    <w:name w:val="ListLabel 145"/>
    <w:qFormat/>
    <w:rPr>
      <w:lang w:val="it-IT" w:eastAsia="en-US" w:bidi="ar-SA"/>
    </w:rPr>
  </w:style>
  <w:style w:type="character" w:styleId="ListLabel146">
    <w:name w:val="ListLabel 146"/>
    <w:qFormat/>
    <w:rPr>
      <w:lang w:val="it-IT" w:eastAsia="en-US" w:bidi="ar-SA"/>
    </w:rPr>
  </w:style>
  <w:style w:type="character" w:styleId="ListLabel147">
    <w:name w:val="ListLabel 147"/>
    <w:qFormat/>
    <w:rPr>
      <w:lang w:val="it-IT" w:eastAsia="en-US" w:bidi="ar-SA"/>
    </w:rPr>
  </w:style>
  <w:style w:type="character" w:styleId="ListLabel148">
    <w:name w:val="ListLabel 148"/>
    <w:qFormat/>
    <w:rPr>
      <w:lang w:val="it-IT" w:eastAsia="en-US" w:bidi="ar-SA"/>
    </w:rPr>
  </w:style>
  <w:style w:type="character" w:styleId="ListLabel149">
    <w:name w:val="ListLabel 149"/>
    <w:qFormat/>
    <w:rPr>
      <w:lang w:val="it-IT" w:eastAsia="en-US" w:bidi="ar-SA"/>
    </w:rPr>
  </w:style>
  <w:style w:type="character" w:styleId="ListLabel150">
    <w:name w:val="ListLabel 150"/>
    <w:qFormat/>
    <w:rPr>
      <w:lang w:val="it-IT" w:eastAsia="en-US" w:bidi="ar-SA"/>
    </w:rPr>
  </w:style>
  <w:style w:type="character" w:styleId="ListLabel151">
    <w:name w:val="ListLabel 151"/>
    <w:qFormat/>
    <w:rPr>
      <w:lang w:val="it-IT" w:eastAsia="en-US" w:bidi="ar-SA"/>
    </w:rPr>
  </w:style>
  <w:style w:type="character" w:styleId="ListLabel152">
    <w:name w:val="ListLabel 152"/>
    <w:qFormat/>
    <w:rPr>
      <w:rFonts w:ascii="Centaur" w:hAnsi="Centaur" w:eastAsia="Microsoft Sans Serif" w:cs="Microsoft Sans Serif"/>
      <w:b/>
      <w:spacing w:val="0"/>
      <w:w w:val="96"/>
      <w:sz w:val="24"/>
      <w:szCs w:val="20"/>
      <w:lang w:val="it-IT" w:eastAsia="en-US" w:bidi="ar-SA"/>
    </w:rPr>
  </w:style>
  <w:style w:type="character" w:styleId="ListLabel153">
    <w:name w:val="ListLabel 153"/>
    <w:qFormat/>
    <w:rPr>
      <w:lang w:val="it-IT" w:eastAsia="en-US" w:bidi="ar-SA"/>
    </w:rPr>
  </w:style>
  <w:style w:type="character" w:styleId="ListLabel154">
    <w:name w:val="ListLabel 154"/>
    <w:qFormat/>
    <w:rPr>
      <w:lang w:val="it-IT" w:eastAsia="en-US" w:bidi="ar-SA"/>
    </w:rPr>
  </w:style>
  <w:style w:type="character" w:styleId="ListLabel155">
    <w:name w:val="ListLabel 155"/>
    <w:qFormat/>
    <w:rPr>
      <w:lang w:val="it-IT" w:eastAsia="en-US" w:bidi="ar-SA"/>
    </w:rPr>
  </w:style>
  <w:style w:type="character" w:styleId="ListLabel156">
    <w:name w:val="ListLabel 156"/>
    <w:qFormat/>
    <w:rPr>
      <w:lang w:val="it-IT" w:eastAsia="en-US" w:bidi="ar-SA"/>
    </w:rPr>
  </w:style>
  <w:style w:type="character" w:styleId="ListLabel157">
    <w:name w:val="ListLabel 157"/>
    <w:qFormat/>
    <w:rPr>
      <w:lang w:val="it-IT" w:eastAsia="en-US" w:bidi="ar-SA"/>
    </w:rPr>
  </w:style>
  <w:style w:type="character" w:styleId="ListLabel158">
    <w:name w:val="ListLabel 158"/>
    <w:qFormat/>
    <w:rPr>
      <w:lang w:val="it-IT" w:eastAsia="en-US" w:bidi="ar-SA"/>
    </w:rPr>
  </w:style>
  <w:style w:type="character" w:styleId="ListLabel159">
    <w:name w:val="ListLabel 159"/>
    <w:qFormat/>
    <w:rPr>
      <w:lang w:val="it-IT" w:eastAsia="en-US" w:bidi="ar-SA"/>
    </w:rPr>
  </w:style>
  <w:style w:type="character" w:styleId="ListLabel160">
    <w:name w:val="ListLabel 160"/>
    <w:qFormat/>
    <w:rPr>
      <w:lang w:val="it-IT" w:eastAsia="en-US" w:bidi="ar-SA"/>
    </w:rPr>
  </w:style>
  <w:style w:type="character" w:styleId="ListLabel161">
    <w:name w:val="ListLabel 161"/>
    <w:qFormat/>
    <w:rPr>
      <w:rFonts w:eastAsia="Microsoft Sans Serif" w:cs="Microsoft Sans Serif"/>
      <w:w w:val="96"/>
      <w:sz w:val="20"/>
      <w:szCs w:val="20"/>
      <w:lang w:val="it-IT" w:eastAsia="en-US" w:bidi="ar-SA"/>
    </w:rPr>
  </w:style>
  <w:style w:type="character" w:styleId="ListLabel162">
    <w:name w:val="ListLabel 162"/>
    <w:qFormat/>
    <w:rPr>
      <w:lang w:val="it-IT" w:eastAsia="en-US" w:bidi="ar-SA"/>
    </w:rPr>
  </w:style>
  <w:style w:type="character" w:styleId="ListLabel163">
    <w:name w:val="ListLabel 163"/>
    <w:qFormat/>
    <w:rPr>
      <w:lang w:val="it-IT" w:eastAsia="en-US" w:bidi="ar-SA"/>
    </w:rPr>
  </w:style>
  <w:style w:type="character" w:styleId="ListLabel164">
    <w:name w:val="ListLabel 164"/>
    <w:qFormat/>
    <w:rPr>
      <w:lang w:val="it-IT" w:eastAsia="en-US" w:bidi="ar-SA"/>
    </w:rPr>
  </w:style>
  <w:style w:type="character" w:styleId="ListLabel165">
    <w:name w:val="ListLabel 165"/>
    <w:qFormat/>
    <w:rPr>
      <w:lang w:val="it-IT" w:eastAsia="en-US" w:bidi="ar-SA"/>
    </w:rPr>
  </w:style>
  <w:style w:type="character" w:styleId="ListLabel166">
    <w:name w:val="ListLabel 166"/>
    <w:qFormat/>
    <w:rPr>
      <w:lang w:val="it-IT" w:eastAsia="en-US" w:bidi="ar-SA"/>
    </w:rPr>
  </w:style>
  <w:style w:type="character" w:styleId="ListLabel167">
    <w:name w:val="ListLabel 167"/>
    <w:qFormat/>
    <w:rPr>
      <w:lang w:val="it-IT" w:eastAsia="en-US" w:bidi="ar-SA"/>
    </w:rPr>
  </w:style>
  <w:style w:type="character" w:styleId="ListLabel168">
    <w:name w:val="ListLabel 168"/>
    <w:qFormat/>
    <w:rPr>
      <w:lang w:val="it-IT" w:eastAsia="en-US" w:bidi="ar-SA"/>
    </w:rPr>
  </w:style>
  <w:style w:type="character" w:styleId="ListLabel169">
    <w:name w:val="ListLabel 169"/>
    <w:qFormat/>
    <w:rPr>
      <w:lang w:val="it-IT" w:eastAsia="en-US" w:bidi="ar-SA"/>
    </w:rPr>
  </w:style>
  <w:style w:type="character" w:styleId="ListLabel170">
    <w:name w:val="ListLabel 170"/>
    <w:qFormat/>
    <w:rPr>
      <w:rFonts w:ascii="Centaur" w:hAnsi="Centaur" w:eastAsia="Microsoft Sans Serif" w:cs="Microsoft Sans Serif"/>
      <w:b/>
      <w:w w:val="96"/>
      <w:sz w:val="24"/>
      <w:szCs w:val="20"/>
      <w:lang w:val="it-IT" w:eastAsia="en-US" w:bidi="ar-SA"/>
    </w:rPr>
  </w:style>
  <w:style w:type="character" w:styleId="ListLabel171">
    <w:name w:val="ListLabel 171"/>
    <w:qFormat/>
    <w:rPr>
      <w:lang w:val="it-IT" w:eastAsia="en-US" w:bidi="ar-SA"/>
    </w:rPr>
  </w:style>
  <w:style w:type="character" w:styleId="ListLabel172">
    <w:name w:val="ListLabel 172"/>
    <w:qFormat/>
    <w:rPr>
      <w:lang w:val="it-IT" w:eastAsia="en-US" w:bidi="ar-SA"/>
    </w:rPr>
  </w:style>
  <w:style w:type="character" w:styleId="ListLabel173">
    <w:name w:val="ListLabel 173"/>
    <w:qFormat/>
    <w:rPr>
      <w:lang w:val="it-IT" w:eastAsia="en-US" w:bidi="ar-SA"/>
    </w:rPr>
  </w:style>
  <w:style w:type="character" w:styleId="ListLabel174">
    <w:name w:val="ListLabel 174"/>
    <w:qFormat/>
    <w:rPr>
      <w:lang w:val="it-IT" w:eastAsia="en-US" w:bidi="ar-SA"/>
    </w:rPr>
  </w:style>
  <w:style w:type="character" w:styleId="ListLabel175">
    <w:name w:val="ListLabel 175"/>
    <w:qFormat/>
    <w:rPr>
      <w:lang w:val="it-IT" w:eastAsia="en-US" w:bidi="ar-SA"/>
    </w:rPr>
  </w:style>
  <w:style w:type="character" w:styleId="ListLabel176">
    <w:name w:val="ListLabel 176"/>
    <w:qFormat/>
    <w:rPr>
      <w:lang w:val="it-IT" w:eastAsia="en-US" w:bidi="ar-SA"/>
    </w:rPr>
  </w:style>
  <w:style w:type="character" w:styleId="ListLabel177">
    <w:name w:val="ListLabel 177"/>
    <w:qFormat/>
    <w:rPr>
      <w:lang w:val="it-IT" w:eastAsia="en-US" w:bidi="ar-SA"/>
    </w:rPr>
  </w:style>
  <w:style w:type="character" w:styleId="ListLabel178">
    <w:name w:val="ListLabel 178"/>
    <w:qFormat/>
    <w:rPr>
      <w:lang w:val="it-IT" w:eastAsia="en-US" w:bidi="ar-SA"/>
    </w:rPr>
  </w:style>
  <w:style w:type="character" w:styleId="ListLabel179">
    <w:name w:val="ListLabel 179"/>
    <w:qFormat/>
    <w:rPr>
      <w:rFonts w:eastAsia="Microsoft Sans Serif" w:cs="Microsoft Sans Serif"/>
      <w:spacing w:val="0"/>
      <w:w w:val="96"/>
      <w:sz w:val="20"/>
      <w:szCs w:val="20"/>
      <w:lang w:val="it-IT" w:eastAsia="en-US" w:bidi="ar-SA"/>
    </w:rPr>
  </w:style>
  <w:style w:type="character" w:styleId="ListLabel180">
    <w:name w:val="ListLabel 180"/>
    <w:qFormat/>
    <w:rPr>
      <w:lang w:val="it-IT" w:eastAsia="en-US" w:bidi="ar-SA"/>
    </w:rPr>
  </w:style>
  <w:style w:type="character" w:styleId="ListLabel181">
    <w:name w:val="ListLabel 181"/>
    <w:qFormat/>
    <w:rPr>
      <w:lang w:val="it-IT" w:eastAsia="en-US" w:bidi="ar-SA"/>
    </w:rPr>
  </w:style>
  <w:style w:type="character" w:styleId="ListLabel182">
    <w:name w:val="ListLabel 182"/>
    <w:qFormat/>
    <w:rPr>
      <w:lang w:val="it-IT" w:eastAsia="en-US" w:bidi="ar-SA"/>
    </w:rPr>
  </w:style>
  <w:style w:type="character" w:styleId="ListLabel183">
    <w:name w:val="ListLabel 183"/>
    <w:qFormat/>
    <w:rPr>
      <w:lang w:val="it-IT" w:eastAsia="en-US" w:bidi="ar-SA"/>
    </w:rPr>
  </w:style>
  <w:style w:type="character" w:styleId="ListLabel184">
    <w:name w:val="ListLabel 184"/>
    <w:qFormat/>
    <w:rPr>
      <w:lang w:val="it-IT" w:eastAsia="en-US" w:bidi="ar-SA"/>
    </w:rPr>
  </w:style>
  <w:style w:type="character" w:styleId="ListLabel185">
    <w:name w:val="ListLabel 185"/>
    <w:qFormat/>
    <w:rPr>
      <w:lang w:val="it-IT" w:eastAsia="en-US" w:bidi="ar-SA"/>
    </w:rPr>
  </w:style>
  <w:style w:type="character" w:styleId="ListLabel186">
    <w:name w:val="ListLabel 186"/>
    <w:qFormat/>
    <w:rPr>
      <w:lang w:val="it-IT" w:eastAsia="en-US" w:bidi="ar-SA"/>
    </w:rPr>
  </w:style>
  <w:style w:type="character" w:styleId="ListLabel187">
    <w:name w:val="ListLabel 187"/>
    <w:qFormat/>
    <w:rPr>
      <w:lang w:val="it-IT" w:eastAsia="en-US" w:bidi="ar-SA"/>
    </w:rPr>
  </w:style>
  <w:style w:type="character" w:styleId="ListLabel188">
    <w:name w:val="ListLabel 188"/>
    <w:qFormat/>
    <w:rPr>
      <w:rFonts w:ascii="Centaur" w:hAnsi="Centaur" w:eastAsia="Microsoft Sans Serif" w:cs="Microsoft Sans Serif"/>
      <w:b/>
      <w:spacing w:val="0"/>
      <w:w w:val="96"/>
      <w:sz w:val="24"/>
      <w:szCs w:val="20"/>
      <w:lang w:val="it-IT" w:eastAsia="en-US" w:bidi="ar-SA"/>
    </w:rPr>
  </w:style>
  <w:style w:type="character" w:styleId="ListLabel189">
    <w:name w:val="ListLabel 189"/>
    <w:qFormat/>
    <w:rPr>
      <w:lang w:val="it-IT" w:eastAsia="en-US" w:bidi="ar-SA"/>
    </w:rPr>
  </w:style>
  <w:style w:type="character" w:styleId="ListLabel190">
    <w:name w:val="ListLabel 190"/>
    <w:qFormat/>
    <w:rPr>
      <w:lang w:val="it-IT" w:eastAsia="en-US" w:bidi="ar-SA"/>
    </w:rPr>
  </w:style>
  <w:style w:type="character" w:styleId="ListLabel191">
    <w:name w:val="ListLabel 191"/>
    <w:qFormat/>
    <w:rPr>
      <w:lang w:val="it-IT" w:eastAsia="en-US" w:bidi="ar-SA"/>
    </w:rPr>
  </w:style>
  <w:style w:type="character" w:styleId="ListLabel192">
    <w:name w:val="ListLabel 192"/>
    <w:qFormat/>
    <w:rPr>
      <w:lang w:val="it-IT" w:eastAsia="en-US" w:bidi="ar-SA"/>
    </w:rPr>
  </w:style>
  <w:style w:type="character" w:styleId="ListLabel193">
    <w:name w:val="ListLabel 193"/>
    <w:qFormat/>
    <w:rPr>
      <w:lang w:val="it-IT" w:eastAsia="en-US" w:bidi="ar-SA"/>
    </w:rPr>
  </w:style>
  <w:style w:type="character" w:styleId="ListLabel194">
    <w:name w:val="ListLabel 194"/>
    <w:qFormat/>
    <w:rPr>
      <w:lang w:val="it-IT" w:eastAsia="en-US" w:bidi="ar-SA"/>
    </w:rPr>
  </w:style>
  <w:style w:type="character" w:styleId="ListLabel195">
    <w:name w:val="ListLabel 195"/>
    <w:qFormat/>
    <w:rPr>
      <w:lang w:val="it-IT" w:eastAsia="en-US" w:bidi="ar-SA"/>
    </w:rPr>
  </w:style>
  <w:style w:type="character" w:styleId="ListLabel196">
    <w:name w:val="ListLabel 196"/>
    <w:qFormat/>
    <w:rPr>
      <w:lang w:val="it-IT" w:eastAsia="en-US" w:bidi="ar-SA"/>
    </w:rPr>
  </w:style>
  <w:style w:type="character" w:styleId="ListLabel197">
    <w:name w:val="ListLabel 197"/>
    <w:qFormat/>
    <w:rPr>
      <w:rFonts w:eastAsia="Times New Roman" w:cs="Times New Roman"/>
      <w:w w:val="94"/>
      <w:sz w:val="23"/>
      <w:szCs w:val="23"/>
      <w:lang w:val="it-IT" w:eastAsia="en-US" w:bidi="ar-SA"/>
    </w:rPr>
  </w:style>
  <w:style w:type="character" w:styleId="ListLabel198">
    <w:name w:val="ListLabel 198"/>
    <w:qFormat/>
    <w:rPr>
      <w:lang w:val="it-IT" w:eastAsia="en-US" w:bidi="ar-SA"/>
    </w:rPr>
  </w:style>
  <w:style w:type="character" w:styleId="ListLabel199">
    <w:name w:val="ListLabel 199"/>
    <w:qFormat/>
    <w:rPr>
      <w:lang w:val="it-IT" w:eastAsia="en-US" w:bidi="ar-SA"/>
    </w:rPr>
  </w:style>
  <w:style w:type="character" w:styleId="ListLabel200">
    <w:name w:val="ListLabel 200"/>
    <w:qFormat/>
    <w:rPr>
      <w:lang w:val="it-IT" w:eastAsia="en-US" w:bidi="ar-SA"/>
    </w:rPr>
  </w:style>
  <w:style w:type="character" w:styleId="ListLabel201">
    <w:name w:val="ListLabel 201"/>
    <w:qFormat/>
    <w:rPr>
      <w:lang w:val="it-IT" w:eastAsia="en-US" w:bidi="ar-SA"/>
    </w:rPr>
  </w:style>
  <w:style w:type="character" w:styleId="ListLabel202">
    <w:name w:val="ListLabel 202"/>
    <w:qFormat/>
    <w:rPr>
      <w:lang w:val="it-IT" w:eastAsia="en-US" w:bidi="ar-SA"/>
    </w:rPr>
  </w:style>
  <w:style w:type="character" w:styleId="ListLabel203">
    <w:name w:val="ListLabel 203"/>
    <w:qFormat/>
    <w:rPr>
      <w:lang w:val="it-IT" w:eastAsia="en-US" w:bidi="ar-SA"/>
    </w:rPr>
  </w:style>
  <w:style w:type="character" w:styleId="ListLabel204">
    <w:name w:val="ListLabel 204"/>
    <w:qFormat/>
    <w:rPr>
      <w:lang w:val="it-IT" w:eastAsia="en-US" w:bidi="ar-SA"/>
    </w:rPr>
  </w:style>
  <w:style w:type="character" w:styleId="ListLabel205">
    <w:name w:val="ListLabel 205"/>
    <w:qFormat/>
    <w:rPr>
      <w:lang w:val="it-IT" w:eastAsia="en-US" w:bidi="ar-SA"/>
    </w:rPr>
  </w:style>
  <w:style w:type="character" w:styleId="ListLabel206">
    <w:name w:val="ListLabel 206"/>
    <w:qFormat/>
    <w:rPr>
      <w:rFonts w:ascii="Centaur" w:hAnsi="Centaur" w:eastAsia="Times New Roman" w:cs="Times New Roman"/>
      <w:b/>
      <w:w w:val="94"/>
      <w:sz w:val="24"/>
      <w:szCs w:val="23"/>
      <w:lang w:val="it-IT" w:eastAsia="en-US" w:bidi="ar-SA"/>
    </w:rPr>
  </w:style>
  <w:style w:type="character" w:styleId="ListLabel207">
    <w:name w:val="ListLabel 207"/>
    <w:qFormat/>
    <w:rPr>
      <w:lang w:val="it-IT" w:eastAsia="en-US" w:bidi="ar-SA"/>
    </w:rPr>
  </w:style>
  <w:style w:type="character" w:styleId="ListLabel208">
    <w:name w:val="ListLabel 208"/>
    <w:qFormat/>
    <w:rPr>
      <w:lang w:val="it-IT" w:eastAsia="en-US" w:bidi="ar-SA"/>
    </w:rPr>
  </w:style>
  <w:style w:type="character" w:styleId="ListLabel209">
    <w:name w:val="ListLabel 209"/>
    <w:qFormat/>
    <w:rPr>
      <w:lang w:val="it-IT" w:eastAsia="en-US" w:bidi="ar-SA"/>
    </w:rPr>
  </w:style>
  <w:style w:type="character" w:styleId="ListLabel210">
    <w:name w:val="ListLabel 210"/>
    <w:qFormat/>
    <w:rPr>
      <w:lang w:val="it-IT" w:eastAsia="en-US" w:bidi="ar-SA"/>
    </w:rPr>
  </w:style>
  <w:style w:type="character" w:styleId="ListLabel211">
    <w:name w:val="ListLabel 211"/>
    <w:qFormat/>
    <w:rPr>
      <w:lang w:val="it-IT" w:eastAsia="en-US" w:bidi="ar-SA"/>
    </w:rPr>
  </w:style>
  <w:style w:type="character" w:styleId="ListLabel212">
    <w:name w:val="ListLabel 212"/>
    <w:qFormat/>
    <w:rPr>
      <w:lang w:val="it-IT" w:eastAsia="en-US" w:bidi="ar-SA"/>
    </w:rPr>
  </w:style>
  <w:style w:type="character" w:styleId="ListLabel213">
    <w:name w:val="ListLabel 213"/>
    <w:qFormat/>
    <w:rPr>
      <w:lang w:val="it-IT" w:eastAsia="en-US" w:bidi="ar-SA"/>
    </w:rPr>
  </w:style>
  <w:style w:type="character" w:styleId="ListLabel214">
    <w:name w:val="ListLabel 214"/>
    <w:qFormat/>
    <w:rPr>
      <w:lang w:val="it-IT" w:eastAsia="en-US" w:bidi="ar-SA"/>
    </w:rPr>
  </w:style>
  <w:style w:type="character" w:styleId="ListLabel215">
    <w:name w:val="ListLabel 215"/>
    <w:qFormat/>
    <w:rPr>
      <w:rFonts w:eastAsia="Microsoft Sans Serif" w:cs="Microsoft Sans Serif"/>
      <w:b w:val="false"/>
      <w:bCs w:val="false"/>
      <w:spacing w:val="-1"/>
      <w:w w:val="96"/>
      <w:sz w:val="20"/>
      <w:szCs w:val="20"/>
      <w:lang w:val="it-IT" w:eastAsia="en-US" w:bidi="ar-SA"/>
    </w:rPr>
  </w:style>
  <w:style w:type="character" w:styleId="ListLabel216">
    <w:name w:val="ListLabel 216"/>
    <w:qFormat/>
    <w:rPr>
      <w:lang w:val="it-IT" w:eastAsia="en-US" w:bidi="ar-SA"/>
    </w:rPr>
  </w:style>
  <w:style w:type="character" w:styleId="ListLabel217">
    <w:name w:val="ListLabel 217"/>
    <w:qFormat/>
    <w:rPr>
      <w:lang w:val="it-IT" w:eastAsia="en-US" w:bidi="ar-SA"/>
    </w:rPr>
  </w:style>
  <w:style w:type="character" w:styleId="ListLabel218">
    <w:name w:val="ListLabel 218"/>
    <w:qFormat/>
    <w:rPr>
      <w:lang w:val="it-IT" w:eastAsia="en-US" w:bidi="ar-SA"/>
    </w:rPr>
  </w:style>
  <w:style w:type="character" w:styleId="ListLabel219">
    <w:name w:val="ListLabel 219"/>
    <w:qFormat/>
    <w:rPr>
      <w:lang w:val="it-IT" w:eastAsia="en-US" w:bidi="ar-SA"/>
    </w:rPr>
  </w:style>
  <w:style w:type="character" w:styleId="ListLabel220">
    <w:name w:val="ListLabel 220"/>
    <w:qFormat/>
    <w:rPr>
      <w:lang w:val="it-IT" w:eastAsia="en-US" w:bidi="ar-SA"/>
    </w:rPr>
  </w:style>
  <w:style w:type="character" w:styleId="ListLabel221">
    <w:name w:val="ListLabel 221"/>
    <w:qFormat/>
    <w:rPr>
      <w:lang w:val="it-IT" w:eastAsia="en-US" w:bidi="ar-SA"/>
    </w:rPr>
  </w:style>
  <w:style w:type="character" w:styleId="ListLabel222">
    <w:name w:val="ListLabel 222"/>
    <w:qFormat/>
    <w:rPr>
      <w:lang w:val="it-IT" w:eastAsia="en-US" w:bidi="ar-SA"/>
    </w:rPr>
  </w:style>
  <w:style w:type="character" w:styleId="ListLabel223">
    <w:name w:val="ListLabel 223"/>
    <w:qFormat/>
    <w:rPr>
      <w:lang w:val="it-IT" w:eastAsia="en-US" w:bidi="ar-SA"/>
    </w:rPr>
  </w:style>
  <w:style w:type="character" w:styleId="ListLabel224">
    <w:name w:val="ListLabel 224"/>
    <w:qFormat/>
    <w:rPr>
      <w:rFonts w:ascii="Centaur" w:hAnsi="Centaur" w:eastAsia="Microsoft Sans Serif" w:cs="Microsoft Sans Serif"/>
      <w:b/>
      <w:bCs w:val="false"/>
      <w:spacing w:val="-1"/>
      <w:w w:val="96"/>
      <w:sz w:val="24"/>
      <w:szCs w:val="20"/>
      <w:lang w:val="it-IT" w:eastAsia="en-US" w:bidi="ar-SA"/>
    </w:rPr>
  </w:style>
  <w:style w:type="character" w:styleId="ListLabel225">
    <w:name w:val="ListLabel 225"/>
    <w:qFormat/>
    <w:rPr>
      <w:lang w:val="it-IT" w:eastAsia="en-US" w:bidi="ar-SA"/>
    </w:rPr>
  </w:style>
  <w:style w:type="character" w:styleId="ListLabel226">
    <w:name w:val="ListLabel 226"/>
    <w:qFormat/>
    <w:rPr>
      <w:lang w:val="it-IT" w:eastAsia="en-US" w:bidi="ar-SA"/>
    </w:rPr>
  </w:style>
  <w:style w:type="character" w:styleId="ListLabel227">
    <w:name w:val="ListLabel 227"/>
    <w:qFormat/>
    <w:rPr>
      <w:lang w:val="it-IT" w:eastAsia="en-US" w:bidi="ar-SA"/>
    </w:rPr>
  </w:style>
  <w:style w:type="character" w:styleId="ListLabel228">
    <w:name w:val="ListLabel 228"/>
    <w:qFormat/>
    <w:rPr>
      <w:lang w:val="it-IT" w:eastAsia="en-US" w:bidi="ar-SA"/>
    </w:rPr>
  </w:style>
  <w:style w:type="character" w:styleId="ListLabel229">
    <w:name w:val="ListLabel 229"/>
    <w:qFormat/>
    <w:rPr>
      <w:lang w:val="it-IT" w:eastAsia="en-US" w:bidi="ar-SA"/>
    </w:rPr>
  </w:style>
  <w:style w:type="character" w:styleId="ListLabel230">
    <w:name w:val="ListLabel 230"/>
    <w:qFormat/>
    <w:rPr>
      <w:lang w:val="it-IT" w:eastAsia="en-US" w:bidi="ar-SA"/>
    </w:rPr>
  </w:style>
  <w:style w:type="character" w:styleId="ListLabel231">
    <w:name w:val="ListLabel 231"/>
    <w:qFormat/>
    <w:rPr>
      <w:lang w:val="it-IT" w:eastAsia="en-US" w:bidi="ar-SA"/>
    </w:rPr>
  </w:style>
  <w:style w:type="character" w:styleId="ListLabel232">
    <w:name w:val="ListLabel 232"/>
    <w:qFormat/>
    <w:rPr>
      <w:lang w:val="it-IT" w:eastAsia="en-US" w:bidi="ar-SA"/>
    </w:rPr>
  </w:style>
  <w:style w:type="character" w:styleId="ListLabel233">
    <w:name w:val="ListLabel 233"/>
    <w:qFormat/>
    <w:rPr>
      <w:rFonts w:eastAsia="Microsoft Sans Serif" w:cs="Microsoft Sans Serif"/>
      <w:spacing w:val="0"/>
      <w:w w:val="96"/>
      <w:sz w:val="20"/>
      <w:szCs w:val="20"/>
      <w:lang w:val="it-IT" w:eastAsia="en-US" w:bidi="ar-SA"/>
    </w:rPr>
  </w:style>
  <w:style w:type="character" w:styleId="ListLabel234">
    <w:name w:val="ListLabel 234"/>
    <w:qFormat/>
    <w:rPr>
      <w:rFonts w:eastAsia="Microsoft Sans Serif" w:cs="Microsoft Sans Serif"/>
      <w:w w:val="96"/>
      <w:sz w:val="20"/>
      <w:szCs w:val="20"/>
      <w:lang w:val="it-IT" w:eastAsia="en-US" w:bidi="ar-SA"/>
    </w:rPr>
  </w:style>
  <w:style w:type="character" w:styleId="ListLabel235">
    <w:name w:val="ListLabel 235"/>
    <w:qFormat/>
    <w:rPr>
      <w:lang w:val="it-IT" w:eastAsia="en-US" w:bidi="ar-SA"/>
    </w:rPr>
  </w:style>
  <w:style w:type="character" w:styleId="ListLabel236">
    <w:name w:val="ListLabel 236"/>
    <w:qFormat/>
    <w:rPr>
      <w:lang w:val="it-IT" w:eastAsia="en-US" w:bidi="ar-SA"/>
    </w:rPr>
  </w:style>
  <w:style w:type="character" w:styleId="ListLabel237">
    <w:name w:val="ListLabel 237"/>
    <w:qFormat/>
    <w:rPr>
      <w:lang w:val="it-IT" w:eastAsia="en-US" w:bidi="ar-SA"/>
    </w:rPr>
  </w:style>
  <w:style w:type="character" w:styleId="ListLabel238">
    <w:name w:val="ListLabel 238"/>
    <w:qFormat/>
    <w:rPr>
      <w:lang w:val="it-IT" w:eastAsia="en-US" w:bidi="ar-SA"/>
    </w:rPr>
  </w:style>
  <w:style w:type="character" w:styleId="ListLabel239">
    <w:name w:val="ListLabel 239"/>
    <w:qFormat/>
    <w:rPr>
      <w:lang w:val="it-IT" w:eastAsia="en-US" w:bidi="ar-SA"/>
    </w:rPr>
  </w:style>
  <w:style w:type="character" w:styleId="ListLabel240">
    <w:name w:val="ListLabel 240"/>
    <w:qFormat/>
    <w:rPr>
      <w:lang w:val="it-IT" w:eastAsia="en-US" w:bidi="ar-SA"/>
    </w:rPr>
  </w:style>
  <w:style w:type="character" w:styleId="ListLabel241">
    <w:name w:val="ListLabel 241"/>
    <w:qFormat/>
    <w:rPr>
      <w:lang w:val="it-IT" w:eastAsia="en-US" w:bidi="ar-SA"/>
    </w:rPr>
  </w:style>
  <w:style w:type="character" w:styleId="ListLabel242">
    <w:name w:val="ListLabel 242"/>
    <w:qFormat/>
    <w:rPr>
      <w:rFonts w:ascii="Centaur" w:hAnsi="Centaur" w:eastAsia="Microsoft Sans Serif" w:cs="Microsoft Sans Serif"/>
      <w:b/>
      <w:spacing w:val="0"/>
      <w:w w:val="96"/>
      <w:sz w:val="24"/>
      <w:szCs w:val="20"/>
      <w:lang w:val="it-IT" w:eastAsia="en-US" w:bidi="ar-SA"/>
    </w:rPr>
  </w:style>
  <w:style w:type="character" w:styleId="ListLabel243">
    <w:name w:val="ListLabel 243"/>
    <w:qFormat/>
    <w:rPr>
      <w:rFonts w:ascii="Centaur" w:hAnsi="Centaur" w:eastAsia="Microsoft Sans Serif" w:cs="Microsoft Sans Serif"/>
      <w:b/>
      <w:w w:val="96"/>
      <w:sz w:val="24"/>
      <w:szCs w:val="20"/>
      <w:lang w:val="it-IT" w:eastAsia="en-US" w:bidi="ar-SA"/>
    </w:rPr>
  </w:style>
  <w:style w:type="character" w:styleId="ListLabel244">
    <w:name w:val="ListLabel 244"/>
    <w:qFormat/>
    <w:rPr>
      <w:lang w:val="it-IT" w:eastAsia="en-US" w:bidi="ar-SA"/>
    </w:rPr>
  </w:style>
  <w:style w:type="character" w:styleId="ListLabel245">
    <w:name w:val="ListLabel 245"/>
    <w:qFormat/>
    <w:rPr>
      <w:lang w:val="it-IT" w:eastAsia="en-US" w:bidi="ar-SA"/>
    </w:rPr>
  </w:style>
  <w:style w:type="character" w:styleId="ListLabel246">
    <w:name w:val="ListLabel 246"/>
    <w:qFormat/>
    <w:rPr>
      <w:lang w:val="it-IT" w:eastAsia="en-US" w:bidi="ar-SA"/>
    </w:rPr>
  </w:style>
  <w:style w:type="character" w:styleId="ListLabel247">
    <w:name w:val="ListLabel 247"/>
    <w:qFormat/>
    <w:rPr>
      <w:lang w:val="it-IT" w:eastAsia="en-US" w:bidi="ar-SA"/>
    </w:rPr>
  </w:style>
  <w:style w:type="character" w:styleId="ListLabel248">
    <w:name w:val="ListLabel 248"/>
    <w:qFormat/>
    <w:rPr>
      <w:lang w:val="it-IT" w:eastAsia="en-US" w:bidi="ar-SA"/>
    </w:rPr>
  </w:style>
  <w:style w:type="character" w:styleId="ListLabel249">
    <w:name w:val="ListLabel 249"/>
    <w:qFormat/>
    <w:rPr>
      <w:lang w:val="it-IT" w:eastAsia="en-US" w:bidi="ar-SA"/>
    </w:rPr>
  </w:style>
  <w:style w:type="character" w:styleId="ListLabel250">
    <w:name w:val="ListLabel 250"/>
    <w:qFormat/>
    <w:rPr>
      <w:lang w:val="it-IT" w:eastAsia="en-US" w:bidi="ar-SA"/>
    </w:rPr>
  </w:style>
  <w:style w:type="character" w:styleId="ListLabel251">
    <w:name w:val="ListLabel 251"/>
    <w:qFormat/>
    <w:rPr>
      <w:rFonts w:eastAsia="Microsoft Sans Serif" w:cs="Microsoft Sans Serif"/>
      <w:spacing w:val="0"/>
      <w:w w:val="96"/>
      <w:sz w:val="20"/>
      <w:szCs w:val="20"/>
      <w:lang w:val="it-IT" w:eastAsia="en-US" w:bidi="ar-SA"/>
    </w:rPr>
  </w:style>
  <w:style w:type="character" w:styleId="ListLabel252">
    <w:name w:val="ListLabel 252"/>
    <w:qFormat/>
    <w:rPr>
      <w:rFonts w:eastAsia="Times New Roman" w:cs="Times New Roman"/>
      <w:w w:val="97"/>
      <w:sz w:val="22"/>
      <w:szCs w:val="22"/>
      <w:lang w:val="it-IT" w:eastAsia="en-US" w:bidi="ar-SA"/>
    </w:rPr>
  </w:style>
  <w:style w:type="character" w:styleId="ListLabel253">
    <w:name w:val="ListLabel 253"/>
    <w:qFormat/>
    <w:rPr>
      <w:rFonts w:eastAsia="Microsoft Sans Serif" w:cs="Microsoft Sans Serif"/>
      <w:w w:val="96"/>
      <w:sz w:val="20"/>
      <w:szCs w:val="20"/>
      <w:u w:val="single" w:color="000000"/>
      <w:lang w:val="it-IT" w:eastAsia="en-US" w:bidi="ar-SA"/>
    </w:rPr>
  </w:style>
  <w:style w:type="character" w:styleId="ListLabel254">
    <w:name w:val="ListLabel 254"/>
    <w:qFormat/>
    <w:rPr>
      <w:lang w:val="it-IT" w:eastAsia="en-US" w:bidi="ar-SA"/>
    </w:rPr>
  </w:style>
  <w:style w:type="character" w:styleId="ListLabel255">
    <w:name w:val="ListLabel 255"/>
    <w:qFormat/>
    <w:rPr>
      <w:lang w:val="it-IT" w:eastAsia="en-US" w:bidi="ar-SA"/>
    </w:rPr>
  </w:style>
  <w:style w:type="character" w:styleId="ListLabel256">
    <w:name w:val="ListLabel 256"/>
    <w:qFormat/>
    <w:rPr>
      <w:lang w:val="it-IT" w:eastAsia="en-US" w:bidi="ar-SA"/>
    </w:rPr>
  </w:style>
  <w:style w:type="character" w:styleId="ListLabel257">
    <w:name w:val="ListLabel 257"/>
    <w:qFormat/>
    <w:rPr>
      <w:lang w:val="it-IT" w:eastAsia="en-US" w:bidi="ar-SA"/>
    </w:rPr>
  </w:style>
  <w:style w:type="character" w:styleId="ListLabel258">
    <w:name w:val="ListLabel 258"/>
    <w:qFormat/>
    <w:rPr>
      <w:lang w:val="it-IT" w:eastAsia="en-US" w:bidi="ar-SA"/>
    </w:rPr>
  </w:style>
  <w:style w:type="character" w:styleId="ListLabel259">
    <w:name w:val="ListLabel 259"/>
    <w:qFormat/>
    <w:rPr>
      <w:lang w:val="it-IT" w:eastAsia="en-US" w:bidi="ar-SA"/>
    </w:rPr>
  </w:style>
  <w:style w:type="character" w:styleId="ListLabel260">
    <w:name w:val="ListLabel 260"/>
    <w:qFormat/>
    <w:rPr>
      <w:rFonts w:ascii="Centaur" w:hAnsi="Centaur" w:eastAsia="Microsoft Sans Serif" w:cs="Microsoft Sans Serif"/>
      <w:b/>
      <w:spacing w:val="0"/>
      <w:w w:val="96"/>
      <w:sz w:val="24"/>
      <w:szCs w:val="20"/>
      <w:lang w:val="it-IT" w:eastAsia="en-US" w:bidi="ar-SA"/>
    </w:rPr>
  </w:style>
  <w:style w:type="character" w:styleId="ListLabel261">
    <w:name w:val="ListLabel 261"/>
    <w:qFormat/>
    <w:rPr>
      <w:rFonts w:ascii="Centaur" w:hAnsi="Centaur" w:eastAsia="Times New Roman" w:cs="Times New Roman"/>
      <w:b/>
      <w:w w:val="97"/>
      <w:sz w:val="24"/>
      <w:szCs w:val="22"/>
      <w:lang w:val="it-IT" w:eastAsia="en-US" w:bidi="ar-SA"/>
    </w:rPr>
  </w:style>
  <w:style w:type="character" w:styleId="ListLabel262">
    <w:name w:val="ListLabel 262"/>
    <w:qFormat/>
    <w:rPr>
      <w:rFonts w:ascii="Centaur" w:hAnsi="Centaur" w:eastAsia="Microsoft Sans Serif" w:cs="Microsoft Sans Serif"/>
      <w:b/>
      <w:w w:val="96"/>
      <w:sz w:val="24"/>
      <w:szCs w:val="20"/>
      <w:u w:val="single" w:color="000000"/>
      <w:lang w:val="it-IT" w:eastAsia="en-US" w:bidi="ar-SA"/>
    </w:rPr>
  </w:style>
  <w:style w:type="character" w:styleId="ListLabel263">
    <w:name w:val="ListLabel 263"/>
    <w:qFormat/>
    <w:rPr>
      <w:lang w:val="it-IT" w:eastAsia="en-US" w:bidi="ar-SA"/>
    </w:rPr>
  </w:style>
  <w:style w:type="character" w:styleId="ListLabel264">
    <w:name w:val="ListLabel 264"/>
    <w:qFormat/>
    <w:rPr>
      <w:lang w:val="it-IT" w:eastAsia="en-US" w:bidi="ar-SA"/>
    </w:rPr>
  </w:style>
  <w:style w:type="character" w:styleId="ListLabel265">
    <w:name w:val="ListLabel 265"/>
    <w:qFormat/>
    <w:rPr>
      <w:lang w:val="it-IT" w:eastAsia="en-US" w:bidi="ar-SA"/>
    </w:rPr>
  </w:style>
  <w:style w:type="character" w:styleId="ListLabel266">
    <w:name w:val="ListLabel 266"/>
    <w:qFormat/>
    <w:rPr>
      <w:lang w:val="it-IT" w:eastAsia="en-US" w:bidi="ar-SA"/>
    </w:rPr>
  </w:style>
  <w:style w:type="character" w:styleId="ListLabel267">
    <w:name w:val="ListLabel 267"/>
    <w:qFormat/>
    <w:rPr>
      <w:lang w:val="it-IT" w:eastAsia="en-US" w:bidi="ar-SA"/>
    </w:rPr>
  </w:style>
  <w:style w:type="character" w:styleId="ListLabel268">
    <w:name w:val="ListLabel 268"/>
    <w:qFormat/>
    <w:rPr>
      <w:lang w:val="it-IT" w:eastAsia="en-US" w:bidi="ar-SA"/>
    </w:rPr>
  </w:style>
  <w:style w:type="character" w:styleId="ListLabel269">
    <w:name w:val="ListLabel 269"/>
    <w:qFormat/>
    <w:rPr>
      <w:rFonts w:eastAsia="Microsoft Sans Serif" w:cs="Microsoft Sans Serif"/>
      <w:spacing w:val="0"/>
      <w:w w:val="96"/>
      <w:sz w:val="20"/>
      <w:szCs w:val="20"/>
      <w:lang w:val="it-IT" w:eastAsia="en-US" w:bidi="ar-SA"/>
    </w:rPr>
  </w:style>
  <w:style w:type="character" w:styleId="ListLabel270">
    <w:name w:val="ListLabel 270"/>
    <w:qFormat/>
    <w:rPr>
      <w:lang w:val="it-IT" w:eastAsia="en-US" w:bidi="ar-SA"/>
    </w:rPr>
  </w:style>
  <w:style w:type="character" w:styleId="ListLabel271">
    <w:name w:val="ListLabel 271"/>
    <w:qFormat/>
    <w:rPr>
      <w:lang w:val="it-IT" w:eastAsia="en-US" w:bidi="ar-SA"/>
    </w:rPr>
  </w:style>
  <w:style w:type="character" w:styleId="ListLabel272">
    <w:name w:val="ListLabel 272"/>
    <w:qFormat/>
    <w:rPr>
      <w:lang w:val="it-IT" w:eastAsia="en-US" w:bidi="ar-SA"/>
    </w:rPr>
  </w:style>
  <w:style w:type="character" w:styleId="ListLabel273">
    <w:name w:val="ListLabel 273"/>
    <w:qFormat/>
    <w:rPr>
      <w:lang w:val="it-IT" w:eastAsia="en-US" w:bidi="ar-SA"/>
    </w:rPr>
  </w:style>
  <w:style w:type="character" w:styleId="ListLabel274">
    <w:name w:val="ListLabel 274"/>
    <w:qFormat/>
    <w:rPr>
      <w:lang w:val="it-IT" w:eastAsia="en-US" w:bidi="ar-SA"/>
    </w:rPr>
  </w:style>
  <w:style w:type="character" w:styleId="ListLabel275">
    <w:name w:val="ListLabel 275"/>
    <w:qFormat/>
    <w:rPr>
      <w:lang w:val="it-IT" w:eastAsia="en-US" w:bidi="ar-SA"/>
    </w:rPr>
  </w:style>
  <w:style w:type="character" w:styleId="ListLabel276">
    <w:name w:val="ListLabel 276"/>
    <w:qFormat/>
    <w:rPr>
      <w:lang w:val="it-IT" w:eastAsia="en-US" w:bidi="ar-SA"/>
    </w:rPr>
  </w:style>
  <w:style w:type="character" w:styleId="ListLabel277">
    <w:name w:val="ListLabel 277"/>
    <w:qFormat/>
    <w:rPr>
      <w:lang w:val="it-IT" w:eastAsia="en-US" w:bidi="ar-SA"/>
    </w:rPr>
  </w:style>
  <w:style w:type="character" w:styleId="ListLabel278">
    <w:name w:val="ListLabel 278"/>
    <w:qFormat/>
    <w:rPr>
      <w:rFonts w:ascii="Centaur" w:hAnsi="Centaur" w:eastAsia="Microsoft Sans Serif" w:cs="Microsoft Sans Serif"/>
      <w:b/>
      <w:spacing w:val="0"/>
      <w:w w:val="96"/>
      <w:sz w:val="24"/>
      <w:szCs w:val="20"/>
      <w:lang w:val="it-IT" w:eastAsia="en-US" w:bidi="ar-SA"/>
    </w:rPr>
  </w:style>
  <w:style w:type="character" w:styleId="ListLabel279">
    <w:name w:val="ListLabel 279"/>
    <w:qFormat/>
    <w:rPr>
      <w:lang w:val="it-IT" w:eastAsia="en-US" w:bidi="ar-SA"/>
    </w:rPr>
  </w:style>
  <w:style w:type="character" w:styleId="ListLabel280">
    <w:name w:val="ListLabel 280"/>
    <w:qFormat/>
    <w:rPr>
      <w:lang w:val="it-IT" w:eastAsia="en-US" w:bidi="ar-SA"/>
    </w:rPr>
  </w:style>
  <w:style w:type="character" w:styleId="ListLabel281">
    <w:name w:val="ListLabel 281"/>
    <w:qFormat/>
    <w:rPr>
      <w:lang w:val="it-IT" w:eastAsia="en-US" w:bidi="ar-SA"/>
    </w:rPr>
  </w:style>
  <w:style w:type="character" w:styleId="ListLabel282">
    <w:name w:val="ListLabel 282"/>
    <w:qFormat/>
    <w:rPr>
      <w:lang w:val="it-IT" w:eastAsia="en-US" w:bidi="ar-SA"/>
    </w:rPr>
  </w:style>
  <w:style w:type="character" w:styleId="ListLabel283">
    <w:name w:val="ListLabel 283"/>
    <w:qFormat/>
    <w:rPr>
      <w:lang w:val="it-IT" w:eastAsia="en-US" w:bidi="ar-SA"/>
    </w:rPr>
  </w:style>
  <w:style w:type="character" w:styleId="ListLabel284">
    <w:name w:val="ListLabel 284"/>
    <w:qFormat/>
    <w:rPr>
      <w:lang w:val="it-IT" w:eastAsia="en-US" w:bidi="ar-SA"/>
    </w:rPr>
  </w:style>
  <w:style w:type="character" w:styleId="ListLabel285">
    <w:name w:val="ListLabel 285"/>
    <w:qFormat/>
    <w:rPr>
      <w:lang w:val="it-IT" w:eastAsia="en-US" w:bidi="ar-SA"/>
    </w:rPr>
  </w:style>
  <w:style w:type="character" w:styleId="ListLabel286">
    <w:name w:val="ListLabel 286"/>
    <w:qFormat/>
    <w:rPr>
      <w:lang w:val="it-IT" w:eastAsia="en-US" w:bidi="ar-SA"/>
    </w:rPr>
  </w:style>
  <w:style w:type="character" w:styleId="ListLabel287">
    <w:name w:val="ListLabel 287"/>
    <w:qFormat/>
    <w:rPr>
      <w:rFonts w:eastAsia="Microsoft Sans Serif" w:cs="Microsoft Sans Serif"/>
      <w:spacing w:val="0"/>
      <w:w w:val="96"/>
      <w:sz w:val="20"/>
      <w:szCs w:val="20"/>
      <w:lang w:val="it-IT" w:eastAsia="en-US" w:bidi="ar-SA"/>
    </w:rPr>
  </w:style>
  <w:style w:type="character" w:styleId="ListLabel288">
    <w:name w:val="ListLabel 288"/>
    <w:qFormat/>
    <w:rPr>
      <w:lang w:val="it-IT" w:eastAsia="en-US" w:bidi="ar-SA"/>
    </w:rPr>
  </w:style>
  <w:style w:type="character" w:styleId="ListLabel289">
    <w:name w:val="ListLabel 289"/>
    <w:qFormat/>
    <w:rPr>
      <w:lang w:val="it-IT" w:eastAsia="en-US" w:bidi="ar-SA"/>
    </w:rPr>
  </w:style>
  <w:style w:type="character" w:styleId="ListLabel290">
    <w:name w:val="ListLabel 290"/>
    <w:qFormat/>
    <w:rPr>
      <w:lang w:val="it-IT" w:eastAsia="en-US" w:bidi="ar-SA"/>
    </w:rPr>
  </w:style>
  <w:style w:type="character" w:styleId="ListLabel291">
    <w:name w:val="ListLabel 291"/>
    <w:qFormat/>
    <w:rPr>
      <w:lang w:val="it-IT" w:eastAsia="en-US" w:bidi="ar-SA"/>
    </w:rPr>
  </w:style>
  <w:style w:type="character" w:styleId="ListLabel292">
    <w:name w:val="ListLabel 292"/>
    <w:qFormat/>
    <w:rPr>
      <w:lang w:val="it-IT" w:eastAsia="en-US" w:bidi="ar-SA"/>
    </w:rPr>
  </w:style>
  <w:style w:type="character" w:styleId="ListLabel293">
    <w:name w:val="ListLabel 293"/>
    <w:qFormat/>
    <w:rPr>
      <w:lang w:val="it-IT" w:eastAsia="en-US" w:bidi="ar-SA"/>
    </w:rPr>
  </w:style>
  <w:style w:type="character" w:styleId="ListLabel294">
    <w:name w:val="ListLabel 294"/>
    <w:qFormat/>
    <w:rPr>
      <w:lang w:val="it-IT" w:eastAsia="en-US" w:bidi="ar-SA"/>
    </w:rPr>
  </w:style>
  <w:style w:type="character" w:styleId="ListLabel295">
    <w:name w:val="ListLabel 295"/>
    <w:qFormat/>
    <w:rPr>
      <w:lang w:val="it-IT" w:eastAsia="en-US" w:bidi="ar-SA"/>
    </w:rPr>
  </w:style>
  <w:style w:type="character" w:styleId="ListLabel296">
    <w:name w:val="ListLabel 296"/>
    <w:qFormat/>
    <w:rPr>
      <w:rFonts w:ascii="Centaur" w:hAnsi="Centaur" w:eastAsia="Microsoft Sans Serif" w:cs="Microsoft Sans Serif"/>
      <w:b/>
      <w:spacing w:val="0"/>
      <w:w w:val="96"/>
      <w:sz w:val="24"/>
      <w:szCs w:val="20"/>
      <w:lang w:val="it-IT" w:eastAsia="en-US" w:bidi="ar-SA"/>
    </w:rPr>
  </w:style>
  <w:style w:type="character" w:styleId="ListLabel297">
    <w:name w:val="ListLabel 297"/>
    <w:qFormat/>
    <w:rPr>
      <w:lang w:val="it-IT" w:eastAsia="en-US" w:bidi="ar-SA"/>
    </w:rPr>
  </w:style>
  <w:style w:type="character" w:styleId="ListLabel298">
    <w:name w:val="ListLabel 298"/>
    <w:qFormat/>
    <w:rPr>
      <w:lang w:val="it-IT" w:eastAsia="en-US" w:bidi="ar-SA"/>
    </w:rPr>
  </w:style>
  <w:style w:type="character" w:styleId="ListLabel299">
    <w:name w:val="ListLabel 299"/>
    <w:qFormat/>
    <w:rPr>
      <w:lang w:val="it-IT" w:eastAsia="en-US" w:bidi="ar-SA"/>
    </w:rPr>
  </w:style>
  <w:style w:type="character" w:styleId="ListLabel300">
    <w:name w:val="ListLabel 300"/>
    <w:qFormat/>
    <w:rPr>
      <w:lang w:val="it-IT" w:eastAsia="en-US" w:bidi="ar-SA"/>
    </w:rPr>
  </w:style>
  <w:style w:type="character" w:styleId="ListLabel301">
    <w:name w:val="ListLabel 301"/>
    <w:qFormat/>
    <w:rPr>
      <w:lang w:val="it-IT" w:eastAsia="en-US" w:bidi="ar-SA"/>
    </w:rPr>
  </w:style>
  <w:style w:type="character" w:styleId="ListLabel302">
    <w:name w:val="ListLabel 302"/>
    <w:qFormat/>
    <w:rPr>
      <w:lang w:val="it-IT" w:eastAsia="en-US" w:bidi="ar-SA"/>
    </w:rPr>
  </w:style>
  <w:style w:type="character" w:styleId="ListLabel303">
    <w:name w:val="ListLabel 303"/>
    <w:qFormat/>
    <w:rPr>
      <w:lang w:val="it-IT" w:eastAsia="en-US" w:bidi="ar-SA"/>
    </w:rPr>
  </w:style>
  <w:style w:type="character" w:styleId="ListLabel304">
    <w:name w:val="ListLabel 304"/>
    <w:qFormat/>
    <w:rPr>
      <w:lang w:val="it-IT" w:eastAsia="en-US" w:bidi="ar-SA"/>
    </w:rPr>
  </w:style>
  <w:style w:type="character" w:styleId="ListLabel305">
    <w:name w:val="ListLabel 305"/>
    <w:qFormat/>
    <w:rPr>
      <w:rFonts w:eastAsia="Microsoft Sans Serif" w:cs="Microsoft Sans Serif"/>
      <w:spacing w:val="0"/>
      <w:w w:val="96"/>
      <w:sz w:val="20"/>
      <w:szCs w:val="20"/>
      <w:lang w:val="it-IT" w:eastAsia="en-US" w:bidi="ar-SA"/>
    </w:rPr>
  </w:style>
  <w:style w:type="character" w:styleId="ListLabel306">
    <w:name w:val="ListLabel 306"/>
    <w:qFormat/>
    <w:rPr>
      <w:lang w:val="it-IT" w:eastAsia="en-US" w:bidi="ar-SA"/>
    </w:rPr>
  </w:style>
  <w:style w:type="character" w:styleId="ListLabel307">
    <w:name w:val="ListLabel 307"/>
    <w:qFormat/>
    <w:rPr>
      <w:lang w:val="it-IT" w:eastAsia="en-US" w:bidi="ar-SA"/>
    </w:rPr>
  </w:style>
  <w:style w:type="character" w:styleId="ListLabel308">
    <w:name w:val="ListLabel 308"/>
    <w:qFormat/>
    <w:rPr>
      <w:lang w:val="it-IT" w:eastAsia="en-US" w:bidi="ar-SA"/>
    </w:rPr>
  </w:style>
  <w:style w:type="character" w:styleId="ListLabel309">
    <w:name w:val="ListLabel 309"/>
    <w:qFormat/>
    <w:rPr>
      <w:lang w:val="it-IT" w:eastAsia="en-US" w:bidi="ar-SA"/>
    </w:rPr>
  </w:style>
  <w:style w:type="character" w:styleId="ListLabel310">
    <w:name w:val="ListLabel 310"/>
    <w:qFormat/>
    <w:rPr>
      <w:lang w:val="it-IT" w:eastAsia="en-US" w:bidi="ar-SA"/>
    </w:rPr>
  </w:style>
  <w:style w:type="character" w:styleId="ListLabel311">
    <w:name w:val="ListLabel 311"/>
    <w:qFormat/>
    <w:rPr>
      <w:lang w:val="it-IT" w:eastAsia="en-US" w:bidi="ar-SA"/>
    </w:rPr>
  </w:style>
  <w:style w:type="character" w:styleId="ListLabel312">
    <w:name w:val="ListLabel 312"/>
    <w:qFormat/>
    <w:rPr>
      <w:lang w:val="it-IT" w:eastAsia="en-US" w:bidi="ar-SA"/>
    </w:rPr>
  </w:style>
  <w:style w:type="character" w:styleId="ListLabel313">
    <w:name w:val="ListLabel 313"/>
    <w:qFormat/>
    <w:rPr>
      <w:lang w:val="it-IT" w:eastAsia="en-US" w:bidi="ar-SA"/>
    </w:rPr>
  </w:style>
  <w:style w:type="character" w:styleId="ListLabel314">
    <w:name w:val="ListLabel 314"/>
    <w:qFormat/>
    <w:rPr>
      <w:rFonts w:ascii="Centaur" w:hAnsi="Centaur" w:eastAsia="Microsoft Sans Serif" w:cs="Microsoft Sans Serif"/>
      <w:b/>
      <w:spacing w:val="0"/>
      <w:w w:val="96"/>
      <w:sz w:val="24"/>
      <w:szCs w:val="20"/>
      <w:lang w:val="it-IT" w:eastAsia="en-US" w:bidi="ar-SA"/>
    </w:rPr>
  </w:style>
  <w:style w:type="character" w:styleId="ListLabel315">
    <w:name w:val="ListLabel 315"/>
    <w:qFormat/>
    <w:rPr>
      <w:lang w:val="it-IT" w:eastAsia="en-US" w:bidi="ar-SA"/>
    </w:rPr>
  </w:style>
  <w:style w:type="character" w:styleId="ListLabel316">
    <w:name w:val="ListLabel 316"/>
    <w:qFormat/>
    <w:rPr>
      <w:lang w:val="it-IT" w:eastAsia="en-US" w:bidi="ar-SA"/>
    </w:rPr>
  </w:style>
  <w:style w:type="character" w:styleId="ListLabel317">
    <w:name w:val="ListLabel 317"/>
    <w:qFormat/>
    <w:rPr>
      <w:lang w:val="it-IT" w:eastAsia="en-US" w:bidi="ar-SA"/>
    </w:rPr>
  </w:style>
  <w:style w:type="character" w:styleId="ListLabel318">
    <w:name w:val="ListLabel 318"/>
    <w:qFormat/>
    <w:rPr>
      <w:lang w:val="it-IT" w:eastAsia="en-US" w:bidi="ar-SA"/>
    </w:rPr>
  </w:style>
  <w:style w:type="character" w:styleId="ListLabel319">
    <w:name w:val="ListLabel 319"/>
    <w:qFormat/>
    <w:rPr>
      <w:lang w:val="it-IT" w:eastAsia="en-US" w:bidi="ar-SA"/>
    </w:rPr>
  </w:style>
  <w:style w:type="character" w:styleId="ListLabel320">
    <w:name w:val="ListLabel 320"/>
    <w:qFormat/>
    <w:rPr>
      <w:lang w:val="it-IT" w:eastAsia="en-US" w:bidi="ar-SA"/>
    </w:rPr>
  </w:style>
  <w:style w:type="character" w:styleId="ListLabel321">
    <w:name w:val="ListLabel 321"/>
    <w:qFormat/>
    <w:rPr>
      <w:lang w:val="it-IT" w:eastAsia="en-US" w:bidi="ar-SA"/>
    </w:rPr>
  </w:style>
  <w:style w:type="character" w:styleId="ListLabel322">
    <w:name w:val="ListLabel 322"/>
    <w:qFormat/>
    <w:rPr>
      <w:lang w:val="it-IT" w:eastAsia="en-US" w:bidi="ar-SA"/>
    </w:rPr>
  </w:style>
  <w:style w:type="character" w:styleId="ListLabel323">
    <w:name w:val="ListLabel 323"/>
    <w:qFormat/>
    <w:rPr>
      <w:rFonts w:eastAsia="Microsoft Sans Serif" w:cs="Microsoft Sans Serif"/>
      <w:spacing w:val="0"/>
      <w:w w:val="96"/>
      <w:sz w:val="20"/>
      <w:szCs w:val="20"/>
      <w:lang w:val="it-IT" w:eastAsia="en-US" w:bidi="ar-SA"/>
    </w:rPr>
  </w:style>
  <w:style w:type="character" w:styleId="ListLabel324">
    <w:name w:val="ListLabel 324"/>
    <w:qFormat/>
    <w:rPr>
      <w:lang w:val="it-IT" w:eastAsia="en-US" w:bidi="ar-SA"/>
    </w:rPr>
  </w:style>
  <w:style w:type="character" w:styleId="ListLabel325">
    <w:name w:val="ListLabel 325"/>
    <w:qFormat/>
    <w:rPr>
      <w:lang w:val="it-IT" w:eastAsia="en-US" w:bidi="ar-SA"/>
    </w:rPr>
  </w:style>
  <w:style w:type="character" w:styleId="ListLabel326">
    <w:name w:val="ListLabel 326"/>
    <w:qFormat/>
    <w:rPr>
      <w:lang w:val="it-IT" w:eastAsia="en-US" w:bidi="ar-SA"/>
    </w:rPr>
  </w:style>
  <w:style w:type="character" w:styleId="ListLabel327">
    <w:name w:val="ListLabel 327"/>
    <w:qFormat/>
    <w:rPr>
      <w:lang w:val="it-IT" w:eastAsia="en-US" w:bidi="ar-SA"/>
    </w:rPr>
  </w:style>
  <w:style w:type="character" w:styleId="ListLabel328">
    <w:name w:val="ListLabel 328"/>
    <w:qFormat/>
    <w:rPr>
      <w:lang w:val="it-IT" w:eastAsia="en-US" w:bidi="ar-SA"/>
    </w:rPr>
  </w:style>
  <w:style w:type="character" w:styleId="ListLabel329">
    <w:name w:val="ListLabel 329"/>
    <w:qFormat/>
    <w:rPr>
      <w:lang w:val="it-IT" w:eastAsia="en-US" w:bidi="ar-SA"/>
    </w:rPr>
  </w:style>
  <w:style w:type="character" w:styleId="ListLabel330">
    <w:name w:val="ListLabel 330"/>
    <w:qFormat/>
    <w:rPr>
      <w:lang w:val="it-IT" w:eastAsia="en-US" w:bidi="ar-SA"/>
    </w:rPr>
  </w:style>
  <w:style w:type="character" w:styleId="ListLabel331">
    <w:name w:val="ListLabel 331"/>
    <w:qFormat/>
    <w:rPr>
      <w:lang w:val="it-IT" w:eastAsia="en-US" w:bidi="ar-SA"/>
    </w:rPr>
  </w:style>
  <w:style w:type="character" w:styleId="ListLabel332">
    <w:name w:val="ListLabel 332"/>
    <w:qFormat/>
    <w:rPr>
      <w:rFonts w:ascii="Centaur" w:hAnsi="Centaur" w:eastAsia="Microsoft Sans Serif" w:cs="Microsoft Sans Serif"/>
      <w:b/>
      <w:spacing w:val="0"/>
      <w:w w:val="96"/>
      <w:sz w:val="24"/>
      <w:szCs w:val="20"/>
      <w:lang w:val="it-IT" w:eastAsia="en-US" w:bidi="ar-SA"/>
    </w:rPr>
  </w:style>
  <w:style w:type="character" w:styleId="ListLabel333">
    <w:name w:val="ListLabel 333"/>
    <w:qFormat/>
    <w:rPr>
      <w:lang w:val="it-IT" w:eastAsia="en-US" w:bidi="ar-SA"/>
    </w:rPr>
  </w:style>
  <w:style w:type="character" w:styleId="ListLabel334">
    <w:name w:val="ListLabel 334"/>
    <w:qFormat/>
    <w:rPr>
      <w:lang w:val="it-IT" w:eastAsia="en-US" w:bidi="ar-SA"/>
    </w:rPr>
  </w:style>
  <w:style w:type="character" w:styleId="ListLabel335">
    <w:name w:val="ListLabel 335"/>
    <w:qFormat/>
    <w:rPr>
      <w:lang w:val="it-IT" w:eastAsia="en-US" w:bidi="ar-SA"/>
    </w:rPr>
  </w:style>
  <w:style w:type="character" w:styleId="ListLabel336">
    <w:name w:val="ListLabel 336"/>
    <w:qFormat/>
    <w:rPr>
      <w:lang w:val="it-IT" w:eastAsia="en-US" w:bidi="ar-SA"/>
    </w:rPr>
  </w:style>
  <w:style w:type="character" w:styleId="ListLabel337">
    <w:name w:val="ListLabel 337"/>
    <w:qFormat/>
    <w:rPr>
      <w:lang w:val="it-IT" w:eastAsia="en-US" w:bidi="ar-SA"/>
    </w:rPr>
  </w:style>
  <w:style w:type="character" w:styleId="ListLabel338">
    <w:name w:val="ListLabel 338"/>
    <w:qFormat/>
    <w:rPr>
      <w:lang w:val="it-IT" w:eastAsia="en-US" w:bidi="ar-SA"/>
    </w:rPr>
  </w:style>
  <w:style w:type="character" w:styleId="ListLabel339">
    <w:name w:val="ListLabel 339"/>
    <w:qFormat/>
    <w:rPr>
      <w:lang w:val="it-IT" w:eastAsia="en-US" w:bidi="ar-SA"/>
    </w:rPr>
  </w:style>
  <w:style w:type="character" w:styleId="ListLabel340">
    <w:name w:val="ListLabel 340"/>
    <w:qFormat/>
    <w:rPr>
      <w:lang w:val="it-IT" w:eastAsia="en-US" w:bidi="ar-SA"/>
    </w:rPr>
  </w:style>
  <w:style w:type="character" w:styleId="ListLabel341">
    <w:name w:val="ListLabel 341"/>
    <w:qFormat/>
    <w:rPr>
      <w:rFonts w:eastAsia="Microsoft Sans Serif" w:cs="Microsoft Sans Serif"/>
      <w:spacing w:val="0"/>
      <w:w w:val="96"/>
      <w:sz w:val="20"/>
      <w:szCs w:val="20"/>
      <w:lang w:val="it-IT" w:eastAsia="en-US" w:bidi="ar-SA"/>
    </w:rPr>
  </w:style>
  <w:style w:type="character" w:styleId="ListLabel342">
    <w:name w:val="ListLabel 342"/>
    <w:qFormat/>
    <w:rPr>
      <w:rFonts w:eastAsia="Microsoft Sans Serif" w:cs="Microsoft Sans Serif"/>
      <w:spacing w:val="2"/>
      <w:w w:val="96"/>
      <w:sz w:val="18"/>
      <w:szCs w:val="18"/>
      <w:lang w:val="it-IT" w:eastAsia="en-US" w:bidi="ar-SA"/>
    </w:rPr>
  </w:style>
  <w:style w:type="character" w:styleId="ListLabel343">
    <w:name w:val="ListLabel 343"/>
    <w:qFormat/>
    <w:rPr>
      <w:lang w:val="it-IT" w:eastAsia="en-US" w:bidi="ar-SA"/>
    </w:rPr>
  </w:style>
  <w:style w:type="character" w:styleId="ListLabel344">
    <w:name w:val="ListLabel 344"/>
    <w:qFormat/>
    <w:rPr>
      <w:lang w:val="it-IT" w:eastAsia="en-US" w:bidi="ar-SA"/>
    </w:rPr>
  </w:style>
  <w:style w:type="character" w:styleId="ListLabel345">
    <w:name w:val="ListLabel 345"/>
    <w:qFormat/>
    <w:rPr>
      <w:lang w:val="it-IT" w:eastAsia="en-US" w:bidi="ar-SA"/>
    </w:rPr>
  </w:style>
  <w:style w:type="character" w:styleId="ListLabel346">
    <w:name w:val="ListLabel 346"/>
    <w:qFormat/>
    <w:rPr>
      <w:lang w:val="it-IT" w:eastAsia="en-US" w:bidi="ar-SA"/>
    </w:rPr>
  </w:style>
  <w:style w:type="character" w:styleId="ListLabel347">
    <w:name w:val="ListLabel 347"/>
    <w:qFormat/>
    <w:rPr>
      <w:lang w:val="it-IT" w:eastAsia="en-US" w:bidi="ar-SA"/>
    </w:rPr>
  </w:style>
  <w:style w:type="character" w:styleId="ListLabel348">
    <w:name w:val="ListLabel 348"/>
    <w:qFormat/>
    <w:rPr>
      <w:lang w:val="it-IT" w:eastAsia="en-US" w:bidi="ar-SA"/>
    </w:rPr>
  </w:style>
  <w:style w:type="character" w:styleId="ListLabel349">
    <w:name w:val="ListLabel 349"/>
    <w:qFormat/>
    <w:rPr>
      <w:rFonts w:ascii="Centaur" w:hAnsi="Centaur" w:eastAsia="Microsoft Sans Serif" w:cs="Microsoft Sans Serif"/>
      <w:b/>
      <w:spacing w:val="0"/>
      <w:w w:val="96"/>
      <w:sz w:val="24"/>
      <w:szCs w:val="20"/>
      <w:lang w:val="it-IT" w:eastAsia="en-US" w:bidi="ar-SA"/>
    </w:rPr>
  </w:style>
  <w:style w:type="character" w:styleId="ListLabel350">
    <w:name w:val="ListLabel 350"/>
    <w:qFormat/>
    <w:rPr>
      <w:rFonts w:ascii="Centaur" w:hAnsi="Centaur" w:eastAsia="Microsoft Sans Serif" w:cs="Microsoft Sans Serif"/>
      <w:b/>
      <w:spacing w:val="2"/>
      <w:w w:val="96"/>
      <w:sz w:val="24"/>
      <w:szCs w:val="18"/>
      <w:lang w:val="it-IT" w:eastAsia="en-US" w:bidi="ar-SA"/>
    </w:rPr>
  </w:style>
  <w:style w:type="character" w:styleId="ListLabel351">
    <w:name w:val="ListLabel 351"/>
    <w:qFormat/>
    <w:rPr>
      <w:lang w:val="it-IT" w:eastAsia="en-US" w:bidi="ar-SA"/>
    </w:rPr>
  </w:style>
  <w:style w:type="character" w:styleId="ListLabel352">
    <w:name w:val="ListLabel 352"/>
    <w:qFormat/>
    <w:rPr>
      <w:lang w:val="it-IT" w:eastAsia="en-US" w:bidi="ar-SA"/>
    </w:rPr>
  </w:style>
  <w:style w:type="character" w:styleId="ListLabel353">
    <w:name w:val="ListLabel 353"/>
    <w:qFormat/>
    <w:rPr>
      <w:lang w:val="it-IT" w:eastAsia="en-US" w:bidi="ar-SA"/>
    </w:rPr>
  </w:style>
  <w:style w:type="character" w:styleId="ListLabel354">
    <w:name w:val="ListLabel 354"/>
    <w:qFormat/>
    <w:rPr>
      <w:lang w:val="it-IT" w:eastAsia="en-US" w:bidi="ar-SA"/>
    </w:rPr>
  </w:style>
  <w:style w:type="character" w:styleId="ListLabel355">
    <w:name w:val="ListLabel 355"/>
    <w:qFormat/>
    <w:rPr>
      <w:lang w:val="it-IT" w:eastAsia="en-US" w:bidi="ar-SA"/>
    </w:rPr>
  </w:style>
  <w:style w:type="character" w:styleId="ListLabel356">
    <w:name w:val="ListLabel 356"/>
    <w:qFormat/>
    <w:rPr>
      <w:lang w:val="it-IT" w:eastAsia="en-US" w:bidi="ar-SA"/>
    </w:rPr>
  </w:style>
  <w:style w:type="character" w:styleId="ListLabel357">
    <w:name w:val="ListLabel 357"/>
    <w:qFormat/>
    <w:rPr>
      <w:rFonts w:eastAsia="Microsoft Sans Serif" w:cs="Microsoft Sans Serif"/>
      <w:spacing w:val="0"/>
      <w:w w:val="96"/>
      <w:sz w:val="20"/>
      <w:szCs w:val="20"/>
      <w:lang w:val="it-IT" w:eastAsia="en-US" w:bidi="ar-SA"/>
    </w:rPr>
  </w:style>
  <w:style w:type="character" w:styleId="ListLabel358">
    <w:name w:val="ListLabel 358"/>
    <w:qFormat/>
    <w:rPr>
      <w:lang w:val="it-IT" w:eastAsia="en-US" w:bidi="ar-SA"/>
    </w:rPr>
  </w:style>
  <w:style w:type="character" w:styleId="ListLabel359">
    <w:name w:val="ListLabel 359"/>
    <w:qFormat/>
    <w:rPr>
      <w:lang w:val="it-IT" w:eastAsia="en-US" w:bidi="ar-SA"/>
    </w:rPr>
  </w:style>
  <w:style w:type="character" w:styleId="ListLabel360">
    <w:name w:val="ListLabel 360"/>
    <w:qFormat/>
    <w:rPr>
      <w:lang w:val="it-IT" w:eastAsia="en-US" w:bidi="ar-SA"/>
    </w:rPr>
  </w:style>
  <w:style w:type="character" w:styleId="ListLabel361">
    <w:name w:val="ListLabel 361"/>
    <w:qFormat/>
    <w:rPr>
      <w:lang w:val="it-IT" w:eastAsia="en-US" w:bidi="ar-SA"/>
    </w:rPr>
  </w:style>
  <w:style w:type="character" w:styleId="ListLabel362">
    <w:name w:val="ListLabel 362"/>
    <w:qFormat/>
    <w:rPr>
      <w:lang w:val="it-IT" w:eastAsia="en-US" w:bidi="ar-SA"/>
    </w:rPr>
  </w:style>
  <w:style w:type="character" w:styleId="ListLabel363">
    <w:name w:val="ListLabel 363"/>
    <w:qFormat/>
    <w:rPr>
      <w:lang w:val="it-IT" w:eastAsia="en-US" w:bidi="ar-SA"/>
    </w:rPr>
  </w:style>
  <w:style w:type="character" w:styleId="ListLabel364">
    <w:name w:val="ListLabel 364"/>
    <w:qFormat/>
    <w:rPr>
      <w:lang w:val="it-IT" w:eastAsia="en-US" w:bidi="ar-SA"/>
    </w:rPr>
  </w:style>
  <w:style w:type="character" w:styleId="ListLabel365">
    <w:name w:val="ListLabel 365"/>
    <w:qFormat/>
    <w:rPr>
      <w:lang w:val="it-IT" w:eastAsia="en-US" w:bidi="ar-SA"/>
    </w:rPr>
  </w:style>
  <w:style w:type="character" w:styleId="ListLabel366">
    <w:name w:val="ListLabel 366"/>
    <w:qFormat/>
    <w:rPr>
      <w:rFonts w:ascii="Centaur" w:hAnsi="Centaur" w:eastAsia="Microsoft Sans Serif" w:cs="Microsoft Sans Serif"/>
      <w:b/>
      <w:spacing w:val="0"/>
      <w:w w:val="96"/>
      <w:sz w:val="24"/>
      <w:szCs w:val="20"/>
      <w:lang w:val="it-IT" w:eastAsia="en-US" w:bidi="ar-SA"/>
    </w:rPr>
  </w:style>
  <w:style w:type="character" w:styleId="ListLabel367">
    <w:name w:val="ListLabel 367"/>
    <w:qFormat/>
    <w:rPr>
      <w:lang w:val="it-IT" w:eastAsia="en-US" w:bidi="ar-SA"/>
    </w:rPr>
  </w:style>
  <w:style w:type="character" w:styleId="ListLabel368">
    <w:name w:val="ListLabel 368"/>
    <w:qFormat/>
    <w:rPr>
      <w:lang w:val="it-IT" w:eastAsia="en-US" w:bidi="ar-SA"/>
    </w:rPr>
  </w:style>
  <w:style w:type="character" w:styleId="ListLabel369">
    <w:name w:val="ListLabel 369"/>
    <w:qFormat/>
    <w:rPr>
      <w:lang w:val="it-IT" w:eastAsia="en-US" w:bidi="ar-SA"/>
    </w:rPr>
  </w:style>
  <w:style w:type="character" w:styleId="ListLabel370">
    <w:name w:val="ListLabel 370"/>
    <w:qFormat/>
    <w:rPr>
      <w:lang w:val="it-IT" w:eastAsia="en-US" w:bidi="ar-SA"/>
    </w:rPr>
  </w:style>
  <w:style w:type="character" w:styleId="ListLabel371">
    <w:name w:val="ListLabel 371"/>
    <w:qFormat/>
    <w:rPr>
      <w:lang w:val="it-IT" w:eastAsia="en-US" w:bidi="ar-SA"/>
    </w:rPr>
  </w:style>
  <w:style w:type="character" w:styleId="ListLabel372">
    <w:name w:val="ListLabel 372"/>
    <w:qFormat/>
    <w:rPr>
      <w:lang w:val="it-IT" w:eastAsia="en-US" w:bidi="ar-SA"/>
    </w:rPr>
  </w:style>
  <w:style w:type="character" w:styleId="ListLabel373">
    <w:name w:val="ListLabel 373"/>
    <w:qFormat/>
    <w:rPr>
      <w:lang w:val="it-IT" w:eastAsia="en-US" w:bidi="ar-SA"/>
    </w:rPr>
  </w:style>
  <w:style w:type="character" w:styleId="ListLabel374">
    <w:name w:val="ListLabel 374"/>
    <w:qFormat/>
    <w:rPr>
      <w:lang w:val="it-IT" w:eastAsia="en-US" w:bidi="ar-SA"/>
    </w:rPr>
  </w:style>
  <w:style w:type="character" w:styleId="ListLabel375">
    <w:name w:val="ListLabel 375"/>
    <w:qFormat/>
    <w:rPr>
      <w:rFonts w:eastAsia="Microsoft Sans Serif" w:cs="Microsoft Sans Serif"/>
      <w:spacing w:val="0"/>
      <w:w w:val="96"/>
      <w:sz w:val="20"/>
      <w:szCs w:val="20"/>
      <w:lang w:val="it-IT" w:eastAsia="en-US" w:bidi="ar-SA"/>
    </w:rPr>
  </w:style>
  <w:style w:type="character" w:styleId="ListLabel376">
    <w:name w:val="ListLabel 376"/>
    <w:qFormat/>
    <w:rPr>
      <w:lang w:val="it-IT" w:eastAsia="en-US" w:bidi="ar-SA"/>
    </w:rPr>
  </w:style>
  <w:style w:type="character" w:styleId="ListLabel377">
    <w:name w:val="ListLabel 377"/>
    <w:qFormat/>
    <w:rPr>
      <w:lang w:val="it-IT" w:eastAsia="en-US" w:bidi="ar-SA"/>
    </w:rPr>
  </w:style>
  <w:style w:type="character" w:styleId="ListLabel378">
    <w:name w:val="ListLabel 378"/>
    <w:qFormat/>
    <w:rPr>
      <w:lang w:val="it-IT" w:eastAsia="en-US" w:bidi="ar-SA"/>
    </w:rPr>
  </w:style>
  <w:style w:type="character" w:styleId="ListLabel379">
    <w:name w:val="ListLabel 379"/>
    <w:qFormat/>
    <w:rPr>
      <w:lang w:val="it-IT" w:eastAsia="en-US" w:bidi="ar-SA"/>
    </w:rPr>
  </w:style>
  <w:style w:type="character" w:styleId="ListLabel380">
    <w:name w:val="ListLabel 380"/>
    <w:qFormat/>
    <w:rPr>
      <w:lang w:val="it-IT" w:eastAsia="en-US" w:bidi="ar-SA"/>
    </w:rPr>
  </w:style>
  <w:style w:type="character" w:styleId="ListLabel381">
    <w:name w:val="ListLabel 381"/>
    <w:qFormat/>
    <w:rPr>
      <w:lang w:val="it-IT" w:eastAsia="en-US" w:bidi="ar-SA"/>
    </w:rPr>
  </w:style>
  <w:style w:type="character" w:styleId="ListLabel382">
    <w:name w:val="ListLabel 382"/>
    <w:qFormat/>
    <w:rPr>
      <w:lang w:val="it-IT" w:eastAsia="en-US" w:bidi="ar-SA"/>
    </w:rPr>
  </w:style>
  <w:style w:type="character" w:styleId="ListLabel383">
    <w:name w:val="ListLabel 383"/>
    <w:qFormat/>
    <w:rPr>
      <w:lang w:val="it-IT" w:eastAsia="en-US" w:bidi="ar-SA"/>
    </w:rPr>
  </w:style>
  <w:style w:type="character" w:styleId="ListLabel384">
    <w:name w:val="ListLabel 384"/>
    <w:qFormat/>
    <w:rPr>
      <w:rFonts w:ascii="Centaur" w:hAnsi="Centaur" w:eastAsia="Microsoft Sans Serif" w:cs="Microsoft Sans Serif"/>
      <w:b/>
      <w:spacing w:val="0"/>
      <w:w w:val="96"/>
      <w:sz w:val="24"/>
      <w:szCs w:val="20"/>
      <w:lang w:val="it-IT" w:eastAsia="en-US" w:bidi="ar-SA"/>
    </w:rPr>
  </w:style>
  <w:style w:type="character" w:styleId="ListLabel385">
    <w:name w:val="ListLabel 385"/>
    <w:qFormat/>
    <w:rPr>
      <w:lang w:val="it-IT" w:eastAsia="en-US" w:bidi="ar-SA"/>
    </w:rPr>
  </w:style>
  <w:style w:type="character" w:styleId="ListLabel386">
    <w:name w:val="ListLabel 386"/>
    <w:qFormat/>
    <w:rPr>
      <w:lang w:val="it-IT" w:eastAsia="en-US" w:bidi="ar-SA"/>
    </w:rPr>
  </w:style>
  <w:style w:type="character" w:styleId="ListLabel387">
    <w:name w:val="ListLabel 387"/>
    <w:qFormat/>
    <w:rPr>
      <w:lang w:val="it-IT" w:eastAsia="en-US" w:bidi="ar-SA"/>
    </w:rPr>
  </w:style>
  <w:style w:type="character" w:styleId="ListLabel388">
    <w:name w:val="ListLabel 388"/>
    <w:qFormat/>
    <w:rPr>
      <w:lang w:val="it-IT" w:eastAsia="en-US" w:bidi="ar-SA"/>
    </w:rPr>
  </w:style>
  <w:style w:type="character" w:styleId="ListLabel389">
    <w:name w:val="ListLabel 389"/>
    <w:qFormat/>
    <w:rPr>
      <w:lang w:val="it-IT" w:eastAsia="en-US" w:bidi="ar-SA"/>
    </w:rPr>
  </w:style>
  <w:style w:type="character" w:styleId="ListLabel390">
    <w:name w:val="ListLabel 390"/>
    <w:qFormat/>
    <w:rPr>
      <w:lang w:val="it-IT" w:eastAsia="en-US" w:bidi="ar-SA"/>
    </w:rPr>
  </w:style>
  <w:style w:type="character" w:styleId="ListLabel391">
    <w:name w:val="ListLabel 391"/>
    <w:qFormat/>
    <w:rPr>
      <w:lang w:val="it-IT" w:eastAsia="en-US" w:bidi="ar-SA"/>
    </w:rPr>
  </w:style>
  <w:style w:type="character" w:styleId="ListLabel392">
    <w:name w:val="ListLabel 392"/>
    <w:qFormat/>
    <w:rPr>
      <w:lang w:val="it-IT" w:eastAsia="en-US" w:bidi="ar-SA"/>
    </w:rPr>
  </w:style>
  <w:style w:type="character" w:styleId="ListLabel393">
    <w:name w:val="ListLabel 393"/>
    <w:qFormat/>
    <w:rPr>
      <w:rFonts w:eastAsia="Microsoft Sans Serif" w:cs="Microsoft Sans Serif"/>
      <w:spacing w:val="0"/>
      <w:w w:val="96"/>
      <w:sz w:val="20"/>
      <w:szCs w:val="20"/>
      <w:lang w:val="it-IT" w:eastAsia="en-US" w:bidi="ar-SA"/>
    </w:rPr>
  </w:style>
  <w:style w:type="character" w:styleId="ListLabel394">
    <w:name w:val="ListLabel 394"/>
    <w:qFormat/>
    <w:rPr>
      <w:rFonts w:eastAsia="Microsoft Sans Serif" w:cs="Microsoft Sans Serif"/>
      <w:spacing w:val="0"/>
      <w:w w:val="96"/>
      <w:sz w:val="20"/>
      <w:szCs w:val="20"/>
      <w:lang w:val="it-IT" w:eastAsia="en-US" w:bidi="ar-SA"/>
    </w:rPr>
  </w:style>
  <w:style w:type="character" w:styleId="ListLabel395">
    <w:name w:val="ListLabel 395"/>
    <w:qFormat/>
    <w:rPr>
      <w:lang w:val="it-IT" w:eastAsia="en-US" w:bidi="ar-SA"/>
    </w:rPr>
  </w:style>
  <w:style w:type="character" w:styleId="ListLabel396">
    <w:name w:val="ListLabel 396"/>
    <w:qFormat/>
    <w:rPr>
      <w:lang w:val="it-IT" w:eastAsia="en-US" w:bidi="ar-SA"/>
    </w:rPr>
  </w:style>
  <w:style w:type="character" w:styleId="ListLabel397">
    <w:name w:val="ListLabel 397"/>
    <w:qFormat/>
    <w:rPr>
      <w:lang w:val="it-IT" w:eastAsia="en-US" w:bidi="ar-SA"/>
    </w:rPr>
  </w:style>
  <w:style w:type="character" w:styleId="ListLabel398">
    <w:name w:val="ListLabel 398"/>
    <w:qFormat/>
    <w:rPr>
      <w:lang w:val="it-IT" w:eastAsia="en-US" w:bidi="ar-SA"/>
    </w:rPr>
  </w:style>
  <w:style w:type="character" w:styleId="ListLabel399">
    <w:name w:val="ListLabel 399"/>
    <w:qFormat/>
    <w:rPr>
      <w:lang w:val="it-IT" w:eastAsia="en-US" w:bidi="ar-SA"/>
    </w:rPr>
  </w:style>
  <w:style w:type="character" w:styleId="ListLabel400">
    <w:name w:val="ListLabel 400"/>
    <w:qFormat/>
    <w:rPr>
      <w:lang w:val="it-IT" w:eastAsia="en-US" w:bidi="ar-SA"/>
    </w:rPr>
  </w:style>
  <w:style w:type="character" w:styleId="ListLabel401">
    <w:name w:val="ListLabel 401"/>
    <w:qFormat/>
    <w:rPr>
      <w:lang w:val="it-IT" w:eastAsia="en-US" w:bidi="ar-SA"/>
    </w:rPr>
  </w:style>
  <w:style w:type="character" w:styleId="ListLabel402">
    <w:name w:val="ListLabel 402"/>
    <w:qFormat/>
    <w:rPr>
      <w:rFonts w:ascii="Centaur" w:hAnsi="Centaur" w:eastAsia="Microsoft Sans Serif" w:cs="Microsoft Sans Serif"/>
      <w:b/>
      <w:spacing w:val="0"/>
      <w:w w:val="96"/>
      <w:sz w:val="24"/>
      <w:szCs w:val="20"/>
      <w:lang w:val="it-IT" w:eastAsia="en-US" w:bidi="ar-SA"/>
    </w:rPr>
  </w:style>
  <w:style w:type="character" w:styleId="ListLabel403">
    <w:name w:val="ListLabel 403"/>
    <w:qFormat/>
    <w:rPr>
      <w:rFonts w:ascii="Centaur" w:hAnsi="Centaur" w:eastAsia="Microsoft Sans Serif" w:cs="Microsoft Sans Serif"/>
      <w:b/>
      <w:spacing w:val="0"/>
      <w:w w:val="96"/>
      <w:sz w:val="24"/>
      <w:szCs w:val="20"/>
      <w:lang w:val="it-IT" w:eastAsia="en-US" w:bidi="ar-SA"/>
    </w:rPr>
  </w:style>
  <w:style w:type="character" w:styleId="ListLabel404">
    <w:name w:val="ListLabel 404"/>
    <w:qFormat/>
    <w:rPr>
      <w:lang w:val="it-IT" w:eastAsia="en-US" w:bidi="ar-SA"/>
    </w:rPr>
  </w:style>
  <w:style w:type="character" w:styleId="ListLabel405">
    <w:name w:val="ListLabel 405"/>
    <w:qFormat/>
    <w:rPr>
      <w:lang w:val="it-IT" w:eastAsia="en-US" w:bidi="ar-SA"/>
    </w:rPr>
  </w:style>
  <w:style w:type="character" w:styleId="ListLabel406">
    <w:name w:val="ListLabel 406"/>
    <w:qFormat/>
    <w:rPr>
      <w:lang w:val="it-IT" w:eastAsia="en-US" w:bidi="ar-SA"/>
    </w:rPr>
  </w:style>
  <w:style w:type="character" w:styleId="ListLabel407">
    <w:name w:val="ListLabel 407"/>
    <w:qFormat/>
    <w:rPr>
      <w:lang w:val="it-IT" w:eastAsia="en-US" w:bidi="ar-SA"/>
    </w:rPr>
  </w:style>
  <w:style w:type="character" w:styleId="ListLabel408">
    <w:name w:val="ListLabel 408"/>
    <w:qFormat/>
    <w:rPr>
      <w:lang w:val="it-IT" w:eastAsia="en-US" w:bidi="ar-SA"/>
    </w:rPr>
  </w:style>
  <w:style w:type="character" w:styleId="ListLabel409">
    <w:name w:val="ListLabel 409"/>
    <w:qFormat/>
    <w:rPr>
      <w:lang w:val="it-IT" w:eastAsia="en-US" w:bidi="ar-SA"/>
    </w:rPr>
  </w:style>
  <w:style w:type="character" w:styleId="ListLabel410">
    <w:name w:val="ListLabel 410"/>
    <w:qFormat/>
    <w:rPr>
      <w:lang w:val="it-IT" w:eastAsia="en-US" w:bidi="ar-SA"/>
    </w:rPr>
  </w:style>
  <w:style w:type="character" w:styleId="ListLabel411">
    <w:name w:val="ListLabel 411"/>
    <w:qFormat/>
    <w:rPr>
      <w:rFonts w:eastAsia="Microsoft Sans Serif" w:cs="Microsoft Sans Serif"/>
      <w:spacing w:val="0"/>
      <w:w w:val="96"/>
      <w:sz w:val="20"/>
      <w:szCs w:val="20"/>
      <w:lang w:val="it-IT" w:eastAsia="en-US" w:bidi="ar-SA"/>
    </w:rPr>
  </w:style>
  <w:style w:type="character" w:styleId="ListLabel412">
    <w:name w:val="ListLabel 412"/>
    <w:qFormat/>
    <w:rPr>
      <w:lang w:val="it-IT" w:eastAsia="en-US" w:bidi="ar-SA"/>
    </w:rPr>
  </w:style>
  <w:style w:type="character" w:styleId="ListLabel413">
    <w:name w:val="ListLabel 413"/>
    <w:qFormat/>
    <w:rPr>
      <w:lang w:val="it-IT" w:eastAsia="en-US" w:bidi="ar-SA"/>
    </w:rPr>
  </w:style>
  <w:style w:type="character" w:styleId="ListLabel414">
    <w:name w:val="ListLabel 414"/>
    <w:qFormat/>
    <w:rPr>
      <w:lang w:val="it-IT" w:eastAsia="en-US" w:bidi="ar-SA"/>
    </w:rPr>
  </w:style>
  <w:style w:type="character" w:styleId="ListLabel415">
    <w:name w:val="ListLabel 415"/>
    <w:qFormat/>
    <w:rPr>
      <w:lang w:val="it-IT" w:eastAsia="en-US" w:bidi="ar-SA"/>
    </w:rPr>
  </w:style>
  <w:style w:type="character" w:styleId="ListLabel416">
    <w:name w:val="ListLabel 416"/>
    <w:qFormat/>
    <w:rPr>
      <w:lang w:val="it-IT" w:eastAsia="en-US" w:bidi="ar-SA"/>
    </w:rPr>
  </w:style>
  <w:style w:type="character" w:styleId="ListLabel417">
    <w:name w:val="ListLabel 417"/>
    <w:qFormat/>
    <w:rPr>
      <w:lang w:val="it-IT" w:eastAsia="en-US" w:bidi="ar-SA"/>
    </w:rPr>
  </w:style>
  <w:style w:type="character" w:styleId="ListLabel418">
    <w:name w:val="ListLabel 418"/>
    <w:qFormat/>
    <w:rPr>
      <w:lang w:val="it-IT" w:eastAsia="en-US" w:bidi="ar-SA"/>
    </w:rPr>
  </w:style>
  <w:style w:type="character" w:styleId="ListLabel419">
    <w:name w:val="ListLabel 419"/>
    <w:qFormat/>
    <w:rPr>
      <w:lang w:val="it-IT" w:eastAsia="en-US" w:bidi="ar-SA"/>
    </w:rPr>
  </w:style>
  <w:style w:type="character" w:styleId="ListLabel420">
    <w:name w:val="ListLabel 420"/>
    <w:qFormat/>
    <w:rPr>
      <w:rFonts w:ascii="Centaur" w:hAnsi="Centaur" w:eastAsia="Microsoft Sans Serif" w:cs="Microsoft Sans Serif"/>
      <w:b/>
      <w:spacing w:val="0"/>
      <w:w w:val="96"/>
      <w:sz w:val="24"/>
      <w:szCs w:val="20"/>
      <w:lang w:val="it-IT" w:eastAsia="en-US" w:bidi="ar-SA"/>
    </w:rPr>
  </w:style>
  <w:style w:type="character" w:styleId="ListLabel421">
    <w:name w:val="ListLabel 421"/>
    <w:qFormat/>
    <w:rPr>
      <w:lang w:val="it-IT" w:eastAsia="en-US" w:bidi="ar-SA"/>
    </w:rPr>
  </w:style>
  <w:style w:type="character" w:styleId="ListLabel422">
    <w:name w:val="ListLabel 422"/>
    <w:qFormat/>
    <w:rPr>
      <w:lang w:val="it-IT" w:eastAsia="en-US" w:bidi="ar-SA"/>
    </w:rPr>
  </w:style>
  <w:style w:type="character" w:styleId="ListLabel423">
    <w:name w:val="ListLabel 423"/>
    <w:qFormat/>
    <w:rPr>
      <w:lang w:val="it-IT" w:eastAsia="en-US" w:bidi="ar-SA"/>
    </w:rPr>
  </w:style>
  <w:style w:type="character" w:styleId="ListLabel424">
    <w:name w:val="ListLabel 424"/>
    <w:qFormat/>
    <w:rPr>
      <w:lang w:val="it-IT" w:eastAsia="en-US" w:bidi="ar-SA"/>
    </w:rPr>
  </w:style>
  <w:style w:type="character" w:styleId="ListLabel425">
    <w:name w:val="ListLabel 425"/>
    <w:qFormat/>
    <w:rPr>
      <w:lang w:val="it-IT" w:eastAsia="en-US" w:bidi="ar-SA"/>
    </w:rPr>
  </w:style>
  <w:style w:type="character" w:styleId="ListLabel426">
    <w:name w:val="ListLabel 426"/>
    <w:qFormat/>
    <w:rPr>
      <w:lang w:val="it-IT" w:eastAsia="en-US" w:bidi="ar-SA"/>
    </w:rPr>
  </w:style>
  <w:style w:type="character" w:styleId="ListLabel427">
    <w:name w:val="ListLabel 427"/>
    <w:qFormat/>
    <w:rPr>
      <w:lang w:val="it-IT" w:eastAsia="en-US" w:bidi="ar-SA"/>
    </w:rPr>
  </w:style>
  <w:style w:type="character" w:styleId="ListLabel428">
    <w:name w:val="ListLabel 428"/>
    <w:qFormat/>
    <w:rPr>
      <w:lang w:val="it-IT" w:eastAsia="en-US" w:bidi="ar-SA"/>
    </w:rPr>
  </w:style>
  <w:style w:type="character" w:styleId="ListLabel429">
    <w:name w:val="ListLabel 429"/>
    <w:qFormat/>
    <w:rPr>
      <w:rFonts w:eastAsia="Microsoft Sans Serif" w:cs="Microsoft Sans Serif"/>
      <w:spacing w:val="0"/>
      <w:w w:val="96"/>
      <w:sz w:val="20"/>
      <w:szCs w:val="20"/>
      <w:lang w:val="it-IT" w:eastAsia="en-US" w:bidi="ar-SA"/>
    </w:rPr>
  </w:style>
  <w:style w:type="character" w:styleId="ListLabel430">
    <w:name w:val="ListLabel 430"/>
    <w:qFormat/>
    <w:rPr>
      <w:lang w:val="it-IT" w:eastAsia="en-US" w:bidi="ar-SA"/>
    </w:rPr>
  </w:style>
  <w:style w:type="character" w:styleId="ListLabel431">
    <w:name w:val="ListLabel 431"/>
    <w:qFormat/>
    <w:rPr>
      <w:lang w:val="it-IT" w:eastAsia="en-US" w:bidi="ar-SA"/>
    </w:rPr>
  </w:style>
  <w:style w:type="character" w:styleId="ListLabel432">
    <w:name w:val="ListLabel 432"/>
    <w:qFormat/>
    <w:rPr>
      <w:lang w:val="it-IT" w:eastAsia="en-US" w:bidi="ar-SA"/>
    </w:rPr>
  </w:style>
  <w:style w:type="character" w:styleId="ListLabel433">
    <w:name w:val="ListLabel 433"/>
    <w:qFormat/>
    <w:rPr>
      <w:lang w:val="it-IT" w:eastAsia="en-US" w:bidi="ar-SA"/>
    </w:rPr>
  </w:style>
  <w:style w:type="character" w:styleId="ListLabel434">
    <w:name w:val="ListLabel 434"/>
    <w:qFormat/>
    <w:rPr>
      <w:lang w:val="it-IT" w:eastAsia="en-US" w:bidi="ar-SA"/>
    </w:rPr>
  </w:style>
  <w:style w:type="character" w:styleId="ListLabel435">
    <w:name w:val="ListLabel 435"/>
    <w:qFormat/>
    <w:rPr>
      <w:lang w:val="it-IT" w:eastAsia="en-US" w:bidi="ar-SA"/>
    </w:rPr>
  </w:style>
  <w:style w:type="character" w:styleId="ListLabel436">
    <w:name w:val="ListLabel 436"/>
    <w:qFormat/>
    <w:rPr>
      <w:lang w:val="it-IT" w:eastAsia="en-US" w:bidi="ar-SA"/>
    </w:rPr>
  </w:style>
  <w:style w:type="character" w:styleId="ListLabel437">
    <w:name w:val="ListLabel 437"/>
    <w:qFormat/>
    <w:rPr>
      <w:lang w:val="it-IT" w:eastAsia="en-US" w:bidi="ar-SA"/>
    </w:rPr>
  </w:style>
  <w:style w:type="character" w:styleId="ListLabel438">
    <w:name w:val="ListLabel 438"/>
    <w:qFormat/>
    <w:rPr>
      <w:rFonts w:ascii="Centaur" w:hAnsi="Centaur" w:eastAsia="Microsoft Sans Serif" w:cs="Microsoft Sans Serif"/>
      <w:b/>
      <w:spacing w:val="0"/>
      <w:w w:val="96"/>
      <w:sz w:val="24"/>
      <w:szCs w:val="20"/>
      <w:lang w:val="it-IT" w:eastAsia="en-US" w:bidi="ar-SA"/>
    </w:rPr>
  </w:style>
  <w:style w:type="character" w:styleId="ListLabel439">
    <w:name w:val="ListLabel 439"/>
    <w:qFormat/>
    <w:rPr>
      <w:lang w:val="it-IT" w:eastAsia="en-US" w:bidi="ar-SA"/>
    </w:rPr>
  </w:style>
  <w:style w:type="character" w:styleId="ListLabel440">
    <w:name w:val="ListLabel 440"/>
    <w:qFormat/>
    <w:rPr>
      <w:lang w:val="it-IT" w:eastAsia="en-US" w:bidi="ar-SA"/>
    </w:rPr>
  </w:style>
  <w:style w:type="character" w:styleId="ListLabel441">
    <w:name w:val="ListLabel 441"/>
    <w:qFormat/>
    <w:rPr>
      <w:lang w:val="it-IT" w:eastAsia="en-US" w:bidi="ar-SA"/>
    </w:rPr>
  </w:style>
  <w:style w:type="character" w:styleId="ListLabel442">
    <w:name w:val="ListLabel 442"/>
    <w:qFormat/>
    <w:rPr>
      <w:lang w:val="it-IT" w:eastAsia="en-US" w:bidi="ar-SA"/>
    </w:rPr>
  </w:style>
  <w:style w:type="character" w:styleId="ListLabel443">
    <w:name w:val="ListLabel 443"/>
    <w:qFormat/>
    <w:rPr>
      <w:lang w:val="it-IT" w:eastAsia="en-US" w:bidi="ar-SA"/>
    </w:rPr>
  </w:style>
  <w:style w:type="character" w:styleId="ListLabel444">
    <w:name w:val="ListLabel 444"/>
    <w:qFormat/>
    <w:rPr>
      <w:lang w:val="it-IT" w:eastAsia="en-US" w:bidi="ar-SA"/>
    </w:rPr>
  </w:style>
  <w:style w:type="character" w:styleId="ListLabel445">
    <w:name w:val="ListLabel 445"/>
    <w:qFormat/>
    <w:rPr>
      <w:lang w:val="it-IT" w:eastAsia="en-US" w:bidi="ar-SA"/>
    </w:rPr>
  </w:style>
  <w:style w:type="character" w:styleId="ListLabel446">
    <w:name w:val="ListLabel 446"/>
    <w:qFormat/>
    <w:rPr>
      <w:lang w:val="it-IT" w:eastAsia="en-US" w:bidi="ar-SA"/>
    </w:rPr>
  </w:style>
  <w:style w:type="character" w:styleId="ListLabel447">
    <w:name w:val="ListLabel 447"/>
    <w:qFormat/>
    <w:rPr>
      <w:rFonts w:eastAsia="Microsoft Sans Serif" w:cs="Microsoft Sans Serif"/>
      <w:spacing w:val="0"/>
      <w:w w:val="96"/>
      <w:sz w:val="20"/>
      <w:szCs w:val="20"/>
      <w:lang w:val="it-IT" w:eastAsia="en-US" w:bidi="ar-SA"/>
    </w:rPr>
  </w:style>
  <w:style w:type="character" w:styleId="ListLabel448">
    <w:name w:val="ListLabel 448"/>
    <w:qFormat/>
    <w:rPr>
      <w:lang w:val="it-IT" w:eastAsia="en-US" w:bidi="ar-SA"/>
    </w:rPr>
  </w:style>
  <w:style w:type="character" w:styleId="ListLabel449">
    <w:name w:val="ListLabel 449"/>
    <w:qFormat/>
    <w:rPr>
      <w:lang w:val="it-IT" w:eastAsia="en-US" w:bidi="ar-SA"/>
    </w:rPr>
  </w:style>
  <w:style w:type="character" w:styleId="ListLabel450">
    <w:name w:val="ListLabel 450"/>
    <w:qFormat/>
    <w:rPr>
      <w:lang w:val="it-IT" w:eastAsia="en-US" w:bidi="ar-SA"/>
    </w:rPr>
  </w:style>
  <w:style w:type="character" w:styleId="ListLabel451">
    <w:name w:val="ListLabel 451"/>
    <w:qFormat/>
    <w:rPr>
      <w:lang w:val="it-IT" w:eastAsia="en-US" w:bidi="ar-SA"/>
    </w:rPr>
  </w:style>
  <w:style w:type="character" w:styleId="ListLabel452">
    <w:name w:val="ListLabel 452"/>
    <w:qFormat/>
    <w:rPr>
      <w:lang w:val="it-IT" w:eastAsia="en-US" w:bidi="ar-SA"/>
    </w:rPr>
  </w:style>
  <w:style w:type="character" w:styleId="ListLabel453">
    <w:name w:val="ListLabel 453"/>
    <w:qFormat/>
    <w:rPr>
      <w:lang w:val="it-IT" w:eastAsia="en-US" w:bidi="ar-SA"/>
    </w:rPr>
  </w:style>
  <w:style w:type="character" w:styleId="ListLabel454">
    <w:name w:val="ListLabel 454"/>
    <w:qFormat/>
    <w:rPr>
      <w:lang w:val="it-IT" w:eastAsia="en-US" w:bidi="ar-SA"/>
    </w:rPr>
  </w:style>
  <w:style w:type="character" w:styleId="ListLabel455">
    <w:name w:val="ListLabel 455"/>
    <w:qFormat/>
    <w:rPr>
      <w:lang w:val="it-IT" w:eastAsia="en-US" w:bidi="ar-SA"/>
    </w:rPr>
  </w:style>
  <w:style w:type="character" w:styleId="ListLabel456">
    <w:name w:val="ListLabel 456"/>
    <w:qFormat/>
    <w:rPr>
      <w:rFonts w:ascii="Centaur" w:hAnsi="Centaur" w:eastAsia="Microsoft Sans Serif" w:cs="Microsoft Sans Serif"/>
      <w:b/>
      <w:spacing w:val="0"/>
      <w:w w:val="96"/>
      <w:sz w:val="24"/>
      <w:szCs w:val="20"/>
      <w:lang w:val="it-IT" w:eastAsia="en-US" w:bidi="ar-SA"/>
    </w:rPr>
  </w:style>
  <w:style w:type="character" w:styleId="ListLabel457">
    <w:name w:val="ListLabel 457"/>
    <w:qFormat/>
    <w:rPr>
      <w:lang w:val="it-IT" w:eastAsia="en-US" w:bidi="ar-SA"/>
    </w:rPr>
  </w:style>
  <w:style w:type="character" w:styleId="ListLabel458">
    <w:name w:val="ListLabel 458"/>
    <w:qFormat/>
    <w:rPr>
      <w:lang w:val="it-IT" w:eastAsia="en-US" w:bidi="ar-SA"/>
    </w:rPr>
  </w:style>
  <w:style w:type="character" w:styleId="ListLabel459">
    <w:name w:val="ListLabel 459"/>
    <w:qFormat/>
    <w:rPr>
      <w:lang w:val="it-IT" w:eastAsia="en-US" w:bidi="ar-SA"/>
    </w:rPr>
  </w:style>
  <w:style w:type="character" w:styleId="ListLabel460">
    <w:name w:val="ListLabel 460"/>
    <w:qFormat/>
    <w:rPr>
      <w:lang w:val="it-IT" w:eastAsia="en-US" w:bidi="ar-SA"/>
    </w:rPr>
  </w:style>
  <w:style w:type="character" w:styleId="ListLabel461">
    <w:name w:val="ListLabel 461"/>
    <w:qFormat/>
    <w:rPr>
      <w:lang w:val="it-IT" w:eastAsia="en-US" w:bidi="ar-SA"/>
    </w:rPr>
  </w:style>
  <w:style w:type="character" w:styleId="ListLabel462">
    <w:name w:val="ListLabel 462"/>
    <w:qFormat/>
    <w:rPr>
      <w:lang w:val="it-IT" w:eastAsia="en-US" w:bidi="ar-SA"/>
    </w:rPr>
  </w:style>
  <w:style w:type="character" w:styleId="ListLabel463">
    <w:name w:val="ListLabel 463"/>
    <w:qFormat/>
    <w:rPr>
      <w:lang w:val="it-IT" w:eastAsia="en-US" w:bidi="ar-SA"/>
    </w:rPr>
  </w:style>
  <w:style w:type="character" w:styleId="ListLabel464">
    <w:name w:val="ListLabel 464"/>
    <w:qFormat/>
    <w:rPr>
      <w:lang w:val="it-IT" w:eastAsia="en-US" w:bidi="ar-SA"/>
    </w:rPr>
  </w:style>
  <w:style w:type="character" w:styleId="ListLabel465">
    <w:name w:val="ListLabel 465"/>
    <w:qFormat/>
    <w:rPr>
      <w:rFonts w:eastAsia="Microsoft Sans Serif" w:cs="Microsoft Sans Serif"/>
      <w:spacing w:val="-1"/>
      <w:w w:val="100"/>
      <w:sz w:val="16"/>
      <w:szCs w:val="16"/>
      <w:lang w:val="it-IT" w:eastAsia="en-US" w:bidi="ar-SA"/>
    </w:rPr>
  </w:style>
  <w:style w:type="character" w:styleId="ListLabel466">
    <w:name w:val="ListLabel 466"/>
    <w:qFormat/>
    <w:rPr>
      <w:lang w:val="it-IT" w:eastAsia="en-US" w:bidi="ar-SA"/>
    </w:rPr>
  </w:style>
  <w:style w:type="character" w:styleId="ListLabel467">
    <w:name w:val="ListLabel 467"/>
    <w:qFormat/>
    <w:rPr>
      <w:lang w:val="it-IT" w:eastAsia="en-US" w:bidi="ar-SA"/>
    </w:rPr>
  </w:style>
  <w:style w:type="character" w:styleId="ListLabel468">
    <w:name w:val="ListLabel 468"/>
    <w:qFormat/>
    <w:rPr>
      <w:lang w:val="it-IT" w:eastAsia="en-US" w:bidi="ar-SA"/>
    </w:rPr>
  </w:style>
  <w:style w:type="character" w:styleId="ListLabel469">
    <w:name w:val="ListLabel 469"/>
    <w:qFormat/>
    <w:rPr>
      <w:lang w:val="it-IT" w:eastAsia="en-US" w:bidi="ar-SA"/>
    </w:rPr>
  </w:style>
  <w:style w:type="character" w:styleId="ListLabel470">
    <w:name w:val="ListLabel 470"/>
    <w:qFormat/>
    <w:rPr>
      <w:lang w:val="it-IT" w:eastAsia="en-US" w:bidi="ar-SA"/>
    </w:rPr>
  </w:style>
  <w:style w:type="character" w:styleId="ListLabel471">
    <w:name w:val="ListLabel 471"/>
    <w:qFormat/>
    <w:rPr>
      <w:lang w:val="it-IT" w:eastAsia="en-US" w:bidi="ar-SA"/>
    </w:rPr>
  </w:style>
  <w:style w:type="character" w:styleId="ListLabel472">
    <w:name w:val="ListLabel 472"/>
    <w:qFormat/>
    <w:rPr>
      <w:lang w:val="it-IT" w:eastAsia="en-US" w:bidi="ar-SA"/>
    </w:rPr>
  </w:style>
  <w:style w:type="character" w:styleId="ListLabel473">
    <w:name w:val="ListLabel 473"/>
    <w:qFormat/>
    <w:rPr>
      <w:lang w:val="it-IT" w:eastAsia="en-US" w:bidi="ar-SA"/>
    </w:rPr>
  </w:style>
  <w:style w:type="character" w:styleId="ListLabel474">
    <w:name w:val="ListLabel 474"/>
    <w:qFormat/>
    <w:rPr>
      <w:rFonts w:ascii="Centaur" w:hAnsi="Centaur" w:eastAsia="Microsoft Sans Serif" w:cs="Microsoft Sans Serif"/>
      <w:b/>
      <w:spacing w:val="-1"/>
      <w:w w:val="100"/>
      <w:sz w:val="24"/>
      <w:szCs w:val="16"/>
      <w:lang w:val="it-IT" w:eastAsia="en-US" w:bidi="ar-SA"/>
    </w:rPr>
  </w:style>
  <w:style w:type="character" w:styleId="ListLabel475">
    <w:name w:val="ListLabel 475"/>
    <w:qFormat/>
    <w:rPr>
      <w:lang w:val="it-IT" w:eastAsia="en-US" w:bidi="ar-SA"/>
    </w:rPr>
  </w:style>
  <w:style w:type="character" w:styleId="ListLabel476">
    <w:name w:val="ListLabel 476"/>
    <w:qFormat/>
    <w:rPr>
      <w:lang w:val="it-IT" w:eastAsia="en-US" w:bidi="ar-SA"/>
    </w:rPr>
  </w:style>
  <w:style w:type="character" w:styleId="ListLabel477">
    <w:name w:val="ListLabel 477"/>
    <w:qFormat/>
    <w:rPr>
      <w:lang w:val="it-IT" w:eastAsia="en-US" w:bidi="ar-SA"/>
    </w:rPr>
  </w:style>
  <w:style w:type="character" w:styleId="ListLabel478">
    <w:name w:val="ListLabel 478"/>
    <w:qFormat/>
    <w:rPr>
      <w:lang w:val="it-IT" w:eastAsia="en-US" w:bidi="ar-SA"/>
    </w:rPr>
  </w:style>
  <w:style w:type="character" w:styleId="ListLabel479">
    <w:name w:val="ListLabel 479"/>
    <w:qFormat/>
    <w:rPr>
      <w:lang w:val="it-IT" w:eastAsia="en-US" w:bidi="ar-SA"/>
    </w:rPr>
  </w:style>
  <w:style w:type="character" w:styleId="ListLabel480">
    <w:name w:val="ListLabel 480"/>
    <w:qFormat/>
    <w:rPr>
      <w:lang w:val="it-IT" w:eastAsia="en-US" w:bidi="ar-SA"/>
    </w:rPr>
  </w:style>
  <w:style w:type="character" w:styleId="ListLabel481">
    <w:name w:val="ListLabel 481"/>
    <w:qFormat/>
    <w:rPr>
      <w:lang w:val="it-IT" w:eastAsia="en-US" w:bidi="ar-SA"/>
    </w:rPr>
  </w:style>
  <w:style w:type="character" w:styleId="ListLabel482">
    <w:name w:val="ListLabel 482"/>
    <w:qFormat/>
    <w:rPr>
      <w:lang w:val="it-IT" w:eastAsia="en-US" w:bidi="ar-SA"/>
    </w:rPr>
  </w:style>
  <w:style w:type="character" w:styleId="ListLabel483">
    <w:name w:val="ListLabel 483"/>
    <w:qFormat/>
    <w:rPr>
      <w:rFonts w:eastAsia="Microsoft Sans Serif" w:cs="Microsoft Sans Serif"/>
      <w:spacing w:val="0"/>
      <w:w w:val="96"/>
      <w:sz w:val="20"/>
      <w:szCs w:val="20"/>
      <w:lang w:val="it-IT" w:eastAsia="en-US" w:bidi="ar-SA"/>
    </w:rPr>
  </w:style>
  <w:style w:type="character" w:styleId="ListLabel484">
    <w:name w:val="ListLabel 484"/>
    <w:qFormat/>
    <w:rPr>
      <w:lang w:val="it-IT" w:eastAsia="en-US" w:bidi="ar-SA"/>
    </w:rPr>
  </w:style>
  <w:style w:type="character" w:styleId="ListLabel485">
    <w:name w:val="ListLabel 485"/>
    <w:qFormat/>
    <w:rPr>
      <w:lang w:val="it-IT" w:eastAsia="en-US" w:bidi="ar-SA"/>
    </w:rPr>
  </w:style>
  <w:style w:type="character" w:styleId="ListLabel486">
    <w:name w:val="ListLabel 486"/>
    <w:qFormat/>
    <w:rPr>
      <w:lang w:val="it-IT" w:eastAsia="en-US" w:bidi="ar-SA"/>
    </w:rPr>
  </w:style>
  <w:style w:type="character" w:styleId="ListLabel487">
    <w:name w:val="ListLabel 487"/>
    <w:qFormat/>
    <w:rPr>
      <w:lang w:val="it-IT" w:eastAsia="en-US" w:bidi="ar-SA"/>
    </w:rPr>
  </w:style>
  <w:style w:type="character" w:styleId="ListLabel488">
    <w:name w:val="ListLabel 488"/>
    <w:qFormat/>
    <w:rPr>
      <w:lang w:val="it-IT" w:eastAsia="en-US" w:bidi="ar-SA"/>
    </w:rPr>
  </w:style>
  <w:style w:type="character" w:styleId="ListLabel489">
    <w:name w:val="ListLabel 489"/>
    <w:qFormat/>
    <w:rPr>
      <w:lang w:val="it-IT" w:eastAsia="en-US" w:bidi="ar-SA"/>
    </w:rPr>
  </w:style>
  <w:style w:type="character" w:styleId="ListLabel490">
    <w:name w:val="ListLabel 490"/>
    <w:qFormat/>
    <w:rPr>
      <w:lang w:val="it-IT" w:eastAsia="en-US" w:bidi="ar-SA"/>
    </w:rPr>
  </w:style>
  <w:style w:type="character" w:styleId="ListLabel491">
    <w:name w:val="ListLabel 491"/>
    <w:qFormat/>
    <w:rPr>
      <w:lang w:val="it-IT" w:eastAsia="en-US" w:bidi="ar-SA"/>
    </w:rPr>
  </w:style>
  <w:style w:type="character" w:styleId="ListLabel492">
    <w:name w:val="ListLabel 492"/>
    <w:qFormat/>
    <w:rPr>
      <w:rFonts w:ascii="Centaur" w:hAnsi="Centaur" w:eastAsia="Microsoft Sans Serif" w:cs="Microsoft Sans Serif"/>
      <w:b/>
      <w:spacing w:val="0"/>
      <w:w w:val="96"/>
      <w:sz w:val="24"/>
      <w:szCs w:val="20"/>
      <w:lang w:val="it-IT" w:eastAsia="en-US" w:bidi="ar-SA"/>
    </w:rPr>
  </w:style>
  <w:style w:type="character" w:styleId="ListLabel493">
    <w:name w:val="ListLabel 493"/>
    <w:qFormat/>
    <w:rPr>
      <w:lang w:val="it-IT" w:eastAsia="en-US" w:bidi="ar-SA"/>
    </w:rPr>
  </w:style>
  <w:style w:type="character" w:styleId="ListLabel494">
    <w:name w:val="ListLabel 494"/>
    <w:qFormat/>
    <w:rPr>
      <w:lang w:val="it-IT" w:eastAsia="en-US" w:bidi="ar-SA"/>
    </w:rPr>
  </w:style>
  <w:style w:type="character" w:styleId="ListLabel495">
    <w:name w:val="ListLabel 495"/>
    <w:qFormat/>
    <w:rPr>
      <w:lang w:val="it-IT" w:eastAsia="en-US" w:bidi="ar-SA"/>
    </w:rPr>
  </w:style>
  <w:style w:type="character" w:styleId="ListLabel496">
    <w:name w:val="ListLabel 496"/>
    <w:qFormat/>
    <w:rPr>
      <w:lang w:val="it-IT" w:eastAsia="en-US" w:bidi="ar-SA"/>
    </w:rPr>
  </w:style>
  <w:style w:type="character" w:styleId="ListLabel497">
    <w:name w:val="ListLabel 497"/>
    <w:qFormat/>
    <w:rPr>
      <w:lang w:val="it-IT" w:eastAsia="en-US" w:bidi="ar-SA"/>
    </w:rPr>
  </w:style>
  <w:style w:type="character" w:styleId="ListLabel498">
    <w:name w:val="ListLabel 498"/>
    <w:qFormat/>
    <w:rPr>
      <w:lang w:val="it-IT" w:eastAsia="en-US" w:bidi="ar-SA"/>
    </w:rPr>
  </w:style>
  <w:style w:type="character" w:styleId="ListLabel499">
    <w:name w:val="ListLabel 499"/>
    <w:qFormat/>
    <w:rPr>
      <w:lang w:val="it-IT" w:eastAsia="en-US" w:bidi="ar-SA"/>
    </w:rPr>
  </w:style>
  <w:style w:type="character" w:styleId="ListLabel500">
    <w:name w:val="ListLabel 500"/>
    <w:qFormat/>
    <w:rPr>
      <w:lang w:val="it-IT" w:eastAsia="en-US" w:bidi="ar-SA"/>
    </w:rPr>
  </w:style>
  <w:style w:type="character" w:styleId="ListLabel501">
    <w:name w:val="ListLabel 501"/>
    <w:qFormat/>
    <w:rPr>
      <w:rFonts w:eastAsia="Microsoft Sans Serif" w:cs="Microsoft Sans Serif"/>
      <w:spacing w:val="0"/>
      <w:w w:val="96"/>
      <w:sz w:val="20"/>
      <w:szCs w:val="20"/>
      <w:lang w:val="it-IT" w:eastAsia="en-US" w:bidi="ar-SA"/>
    </w:rPr>
  </w:style>
  <w:style w:type="character" w:styleId="ListLabel502">
    <w:name w:val="ListLabel 502"/>
    <w:qFormat/>
    <w:rPr>
      <w:lang w:val="it-IT" w:eastAsia="en-US" w:bidi="ar-SA"/>
    </w:rPr>
  </w:style>
  <w:style w:type="character" w:styleId="ListLabel503">
    <w:name w:val="ListLabel 503"/>
    <w:qFormat/>
    <w:rPr>
      <w:lang w:val="it-IT" w:eastAsia="en-US" w:bidi="ar-SA"/>
    </w:rPr>
  </w:style>
  <w:style w:type="character" w:styleId="ListLabel504">
    <w:name w:val="ListLabel 504"/>
    <w:qFormat/>
    <w:rPr>
      <w:lang w:val="it-IT" w:eastAsia="en-US" w:bidi="ar-SA"/>
    </w:rPr>
  </w:style>
  <w:style w:type="character" w:styleId="ListLabel505">
    <w:name w:val="ListLabel 505"/>
    <w:qFormat/>
    <w:rPr>
      <w:lang w:val="it-IT" w:eastAsia="en-US" w:bidi="ar-SA"/>
    </w:rPr>
  </w:style>
  <w:style w:type="character" w:styleId="ListLabel506">
    <w:name w:val="ListLabel 506"/>
    <w:qFormat/>
    <w:rPr>
      <w:lang w:val="it-IT" w:eastAsia="en-US" w:bidi="ar-SA"/>
    </w:rPr>
  </w:style>
  <w:style w:type="character" w:styleId="ListLabel507">
    <w:name w:val="ListLabel 507"/>
    <w:qFormat/>
    <w:rPr>
      <w:lang w:val="it-IT" w:eastAsia="en-US" w:bidi="ar-SA"/>
    </w:rPr>
  </w:style>
  <w:style w:type="character" w:styleId="ListLabel508">
    <w:name w:val="ListLabel 508"/>
    <w:qFormat/>
    <w:rPr>
      <w:lang w:val="it-IT" w:eastAsia="en-US" w:bidi="ar-SA"/>
    </w:rPr>
  </w:style>
  <w:style w:type="character" w:styleId="ListLabel509">
    <w:name w:val="ListLabel 509"/>
    <w:qFormat/>
    <w:rPr>
      <w:lang w:val="it-IT" w:eastAsia="en-US" w:bidi="ar-SA"/>
    </w:rPr>
  </w:style>
  <w:style w:type="character" w:styleId="ListLabel510">
    <w:name w:val="ListLabel 510"/>
    <w:qFormat/>
    <w:rPr>
      <w:rFonts w:ascii="Centaur" w:hAnsi="Centaur" w:eastAsia="Microsoft Sans Serif" w:cs="Microsoft Sans Serif"/>
      <w:b/>
      <w:spacing w:val="0"/>
      <w:w w:val="96"/>
      <w:sz w:val="24"/>
      <w:szCs w:val="20"/>
      <w:lang w:val="it-IT" w:eastAsia="en-US" w:bidi="ar-SA"/>
    </w:rPr>
  </w:style>
  <w:style w:type="character" w:styleId="ListLabel511">
    <w:name w:val="ListLabel 511"/>
    <w:qFormat/>
    <w:rPr>
      <w:lang w:val="it-IT" w:eastAsia="en-US" w:bidi="ar-SA"/>
    </w:rPr>
  </w:style>
  <w:style w:type="character" w:styleId="ListLabel512">
    <w:name w:val="ListLabel 512"/>
    <w:qFormat/>
    <w:rPr>
      <w:lang w:val="it-IT" w:eastAsia="en-US" w:bidi="ar-SA"/>
    </w:rPr>
  </w:style>
  <w:style w:type="character" w:styleId="ListLabel513">
    <w:name w:val="ListLabel 513"/>
    <w:qFormat/>
    <w:rPr>
      <w:lang w:val="it-IT" w:eastAsia="en-US" w:bidi="ar-SA"/>
    </w:rPr>
  </w:style>
  <w:style w:type="character" w:styleId="ListLabel514">
    <w:name w:val="ListLabel 514"/>
    <w:qFormat/>
    <w:rPr>
      <w:lang w:val="it-IT" w:eastAsia="en-US" w:bidi="ar-SA"/>
    </w:rPr>
  </w:style>
  <w:style w:type="character" w:styleId="ListLabel515">
    <w:name w:val="ListLabel 515"/>
    <w:qFormat/>
    <w:rPr>
      <w:lang w:val="it-IT" w:eastAsia="en-US" w:bidi="ar-SA"/>
    </w:rPr>
  </w:style>
  <w:style w:type="character" w:styleId="ListLabel516">
    <w:name w:val="ListLabel 516"/>
    <w:qFormat/>
    <w:rPr>
      <w:lang w:val="it-IT" w:eastAsia="en-US" w:bidi="ar-SA"/>
    </w:rPr>
  </w:style>
  <w:style w:type="character" w:styleId="ListLabel517">
    <w:name w:val="ListLabel 517"/>
    <w:qFormat/>
    <w:rPr>
      <w:lang w:val="it-IT" w:eastAsia="en-US" w:bidi="ar-SA"/>
    </w:rPr>
  </w:style>
  <w:style w:type="character" w:styleId="ListLabel518">
    <w:name w:val="ListLabel 518"/>
    <w:qFormat/>
    <w:rPr>
      <w:lang w:val="it-IT" w:eastAsia="en-US" w:bidi="ar-SA"/>
    </w:rPr>
  </w:style>
  <w:style w:type="character" w:styleId="ListLabel519">
    <w:name w:val="ListLabel 519"/>
    <w:qFormat/>
    <w:rPr>
      <w:rFonts w:eastAsia="Microsoft Sans Serif" w:cs="Microsoft Sans Serif"/>
      <w:spacing w:val="0"/>
      <w:w w:val="96"/>
      <w:sz w:val="20"/>
      <w:szCs w:val="20"/>
      <w:lang w:val="it-IT" w:eastAsia="en-US" w:bidi="ar-SA"/>
    </w:rPr>
  </w:style>
  <w:style w:type="character" w:styleId="ListLabel520">
    <w:name w:val="ListLabel 520"/>
    <w:qFormat/>
    <w:rPr>
      <w:lang w:val="it-IT" w:eastAsia="en-US" w:bidi="ar-SA"/>
    </w:rPr>
  </w:style>
  <w:style w:type="character" w:styleId="ListLabel521">
    <w:name w:val="ListLabel 521"/>
    <w:qFormat/>
    <w:rPr>
      <w:lang w:val="it-IT" w:eastAsia="en-US" w:bidi="ar-SA"/>
    </w:rPr>
  </w:style>
  <w:style w:type="character" w:styleId="ListLabel522">
    <w:name w:val="ListLabel 522"/>
    <w:qFormat/>
    <w:rPr>
      <w:lang w:val="it-IT" w:eastAsia="en-US" w:bidi="ar-SA"/>
    </w:rPr>
  </w:style>
  <w:style w:type="character" w:styleId="ListLabel523">
    <w:name w:val="ListLabel 523"/>
    <w:qFormat/>
    <w:rPr>
      <w:lang w:val="it-IT" w:eastAsia="en-US" w:bidi="ar-SA"/>
    </w:rPr>
  </w:style>
  <w:style w:type="character" w:styleId="ListLabel524">
    <w:name w:val="ListLabel 524"/>
    <w:qFormat/>
    <w:rPr>
      <w:lang w:val="it-IT" w:eastAsia="en-US" w:bidi="ar-SA"/>
    </w:rPr>
  </w:style>
  <w:style w:type="character" w:styleId="ListLabel525">
    <w:name w:val="ListLabel 525"/>
    <w:qFormat/>
    <w:rPr>
      <w:lang w:val="it-IT" w:eastAsia="en-US" w:bidi="ar-SA"/>
    </w:rPr>
  </w:style>
  <w:style w:type="character" w:styleId="ListLabel526">
    <w:name w:val="ListLabel 526"/>
    <w:qFormat/>
    <w:rPr>
      <w:lang w:val="it-IT" w:eastAsia="en-US" w:bidi="ar-SA"/>
    </w:rPr>
  </w:style>
  <w:style w:type="character" w:styleId="ListLabel527">
    <w:name w:val="ListLabel 527"/>
    <w:qFormat/>
    <w:rPr>
      <w:lang w:val="it-IT" w:eastAsia="en-US" w:bidi="ar-SA"/>
    </w:rPr>
  </w:style>
  <w:style w:type="character" w:styleId="ListLabel528">
    <w:name w:val="ListLabel 528"/>
    <w:qFormat/>
    <w:rPr>
      <w:rFonts w:ascii="Centaur" w:hAnsi="Centaur" w:eastAsia="Microsoft Sans Serif" w:cs="Microsoft Sans Serif"/>
      <w:b/>
      <w:spacing w:val="0"/>
      <w:w w:val="96"/>
      <w:sz w:val="24"/>
      <w:szCs w:val="20"/>
      <w:lang w:val="it-IT" w:eastAsia="en-US" w:bidi="ar-SA"/>
    </w:rPr>
  </w:style>
  <w:style w:type="character" w:styleId="ListLabel529">
    <w:name w:val="ListLabel 529"/>
    <w:qFormat/>
    <w:rPr>
      <w:lang w:val="it-IT" w:eastAsia="en-US" w:bidi="ar-SA"/>
    </w:rPr>
  </w:style>
  <w:style w:type="character" w:styleId="ListLabel530">
    <w:name w:val="ListLabel 530"/>
    <w:qFormat/>
    <w:rPr>
      <w:lang w:val="it-IT" w:eastAsia="en-US" w:bidi="ar-SA"/>
    </w:rPr>
  </w:style>
  <w:style w:type="character" w:styleId="ListLabel531">
    <w:name w:val="ListLabel 531"/>
    <w:qFormat/>
    <w:rPr>
      <w:lang w:val="it-IT" w:eastAsia="en-US" w:bidi="ar-SA"/>
    </w:rPr>
  </w:style>
  <w:style w:type="character" w:styleId="ListLabel532">
    <w:name w:val="ListLabel 532"/>
    <w:qFormat/>
    <w:rPr>
      <w:lang w:val="it-IT" w:eastAsia="en-US" w:bidi="ar-SA"/>
    </w:rPr>
  </w:style>
  <w:style w:type="character" w:styleId="ListLabel533">
    <w:name w:val="ListLabel 533"/>
    <w:qFormat/>
    <w:rPr>
      <w:lang w:val="it-IT" w:eastAsia="en-US" w:bidi="ar-SA"/>
    </w:rPr>
  </w:style>
  <w:style w:type="character" w:styleId="ListLabel534">
    <w:name w:val="ListLabel 534"/>
    <w:qFormat/>
    <w:rPr>
      <w:lang w:val="it-IT" w:eastAsia="en-US" w:bidi="ar-SA"/>
    </w:rPr>
  </w:style>
  <w:style w:type="character" w:styleId="ListLabel535">
    <w:name w:val="ListLabel 535"/>
    <w:qFormat/>
    <w:rPr>
      <w:lang w:val="it-IT" w:eastAsia="en-US" w:bidi="ar-SA"/>
    </w:rPr>
  </w:style>
  <w:style w:type="character" w:styleId="ListLabel536">
    <w:name w:val="ListLabel 536"/>
    <w:qFormat/>
    <w:rPr>
      <w:lang w:val="it-IT" w:eastAsia="en-US" w:bidi="ar-SA"/>
    </w:rPr>
  </w:style>
  <w:style w:type="character" w:styleId="ListLabel537">
    <w:name w:val="ListLabel 537"/>
    <w:qFormat/>
    <w:rPr>
      <w:rFonts w:eastAsia="Microsoft Sans Serif" w:cs="Microsoft Sans Serif"/>
      <w:spacing w:val="0"/>
      <w:w w:val="96"/>
      <w:sz w:val="20"/>
      <w:szCs w:val="20"/>
      <w:lang w:val="it-IT" w:eastAsia="en-US" w:bidi="ar-SA"/>
    </w:rPr>
  </w:style>
  <w:style w:type="character" w:styleId="ListLabel538">
    <w:name w:val="ListLabel 538"/>
    <w:qFormat/>
    <w:rPr>
      <w:lang w:val="it-IT" w:eastAsia="en-US" w:bidi="ar-SA"/>
    </w:rPr>
  </w:style>
  <w:style w:type="character" w:styleId="ListLabel539">
    <w:name w:val="ListLabel 539"/>
    <w:qFormat/>
    <w:rPr>
      <w:lang w:val="it-IT" w:eastAsia="en-US" w:bidi="ar-SA"/>
    </w:rPr>
  </w:style>
  <w:style w:type="character" w:styleId="ListLabel540">
    <w:name w:val="ListLabel 540"/>
    <w:qFormat/>
    <w:rPr>
      <w:lang w:val="it-IT" w:eastAsia="en-US" w:bidi="ar-SA"/>
    </w:rPr>
  </w:style>
  <w:style w:type="character" w:styleId="ListLabel541">
    <w:name w:val="ListLabel 541"/>
    <w:qFormat/>
    <w:rPr>
      <w:lang w:val="it-IT" w:eastAsia="en-US" w:bidi="ar-SA"/>
    </w:rPr>
  </w:style>
  <w:style w:type="character" w:styleId="ListLabel542">
    <w:name w:val="ListLabel 542"/>
    <w:qFormat/>
    <w:rPr>
      <w:lang w:val="it-IT" w:eastAsia="en-US" w:bidi="ar-SA"/>
    </w:rPr>
  </w:style>
  <w:style w:type="character" w:styleId="ListLabel543">
    <w:name w:val="ListLabel 543"/>
    <w:qFormat/>
    <w:rPr>
      <w:lang w:val="it-IT" w:eastAsia="en-US" w:bidi="ar-SA"/>
    </w:rPr>
  </w:style>
  <w:style w:type="character" w:styleId="ListLabel544">
    <w:name w:val="ListLabel 544"/>
    <w:qFormat/>
    <w:rPr>
      <w:lang w:val="it-IT" w:eastAsia="en-US" w:bidi="ar-SA"/>
    </w:rPr>
  </w:style>
  <w:style w:type="character" w:styleId="ListLabel545">
    <w:name w:val="ListLabel 545"/>
    <w:qFormat/>
    <w:rPr>
      <w:lang w:val="it-IT" w:eastAsia="en-US" w:bidi="ar-SA"/>
    </w:rPr>
  </w:style>
  <w:style w:type="character" w:styleId="ListLabel546">
    <w:name w:val="ListLabel 546"/>
    <w:qFormat/>
    <w:rPr>
      <w:rFonts w:ascii="Centaur" w:hAnsi="Centaur" w:eastAsia="Microsoft Sans Serif" w:cs="Microsoft Sans Serif"/>
      <w:b/>
      <w:spacing w:val="0"/>
      <w:w w:val="96"/>
      <w:sz w:val="24"/>
      <w:szCs w:val="20"/>
      <w:lang w:val="it-IT" w:eastAsia="en-US" w:bidi="ar-SA"/>
    </w:rPr>
  </w:style>
  <w:style w:type="character" w:styleId="ListLabel547">
    <w:name w:val="ListLabel 547"/>
    <w:qFormat/>
    <w:rPr>
      <w:lang w:val="it-IT" w:eastAsia="en-US" w:bidi="ar-SA"/>
    </w:rPr>
  </w:style>
  <w:style w:type="character" w:styleId="ListLabel548">
    <w:name w:val="ListLabel 548"/>
    <w:qFormat/>
    <w:rPr>
      <w:lang w:val="it-IT" w:eastAsia="en-US" w:bidi="ar-SA"/>
    </w:rPr>
  </w:style>
  <w:style w:type="character" w:styleId="ListLabel549">
    <w:name w:val="ListLabel 549"/>
    <w:qFormat/>
    <w:rPr>
      <w:lang w:val="it-IT" w:eastAsia="en-US" w:bidi="ar-SA"/>
    </w:rPr>
  </w:style>
  <w:style w:type="character" w:styleId="ListLabel550">
    <w:name w:val="ListLabel 550"/>
    <w:qFormat/>
    <w:rPr>
      <w:lang w:val="it-IT" w:eastAsia="en-US" w:bidi="ar-SA"/>
    </w:rPr>
  </w:style>
  <w:style w:type="character" w:styleId="ListLabel551">
    <w:name w:val="ListLabel 551"/>
    <w:qFormat/>
    <w:rPr>
      <w:lang w:val="it-IT" w:eastAsia="en-US" w:bidi="ar-SA"/>
    </w:rPr>
  </w:style>
  <w:style w:type="character" w:styleId="ListLabel552">
    <w:name w:val="ListLabel 552"/>
    <w:qFormat/>
    <w:rPr>
      <w:lang w:val="it-IT" w:eastAsia="en-US" w:bidi="ar-SA"/>
    </w:rPr>
  </w:style>
  <w:style w:type="character" w:styleId="ListLabel553">
    <w:name w:val="ListLabel 553"/>
    <w:qFormat/>
    <w:rPr>
      <w:lang w:val="it-IT" w:eastAsia="en-US" w:bidi="ar-SA"/>
    </w:rPr>
  </w:style>
  <w:style w:type="character" w:styleId="ListLabel554">
    <w:name w:val="ListLabel 554"/>
    <w:qFormat/>
    <w:rPr>
      <w:lang w:val="it-IT" w:eastAsia="en-US" w:bidi="ar-SA"/>
    </w:rPr>
  </w:style>
  <w:style w:type="character" w:styleId="ListLabel555">
    <w:name w:val="ListLabel 555"/>
    <w:qFormat/>
    <w:rPr>
      <w:rFonts w:eastAsia="Microsoft Sans Serif" w:cs="Microsoft Sans Serif"/>
      <w:spacing w:val="0"/>
      <w:w w:val="96"/>
      <w:sz w:val="20"/>
      <w:szCs w:val="20"/>
      <w:lang w:val="it-IT" w:eastAsia="en-US" w:bidi="ar-SA"/>
    </w:rPr>
  </w:style>
  <w:style w:type="character" w:styleId="ListLabel556">
    <w:name w:val="ListLabel 556"/>
    <w:qFormat/>
    <w:rPr>
      <w:lang w:val="it-IT" w:eastAsia="en-US" w:bidi="ar-SA"/>
    </w:rPr>
  </w:style>
  <w:style w:type="character" w:styleId="ListLabel557">
    <w:name w:val="ListLabel 557"/>
    <w:qFormat/>
    <w:rPr>
      <w:lang w:val="it-IT" w:eastAsia="en-US" w:bidi="ar-SA"/>
    </w:rPr>
  </w:style>
  <w:style w:type="character" w:styleId="ListLabel558">
    <w:name w:val="ListLabel 558"/>
    <w:qFormat/>
    <w:rPr>
      <w:lang w:val="it-IT" w:eastAsia="en-US" w:bidi="ar-SA"/>
    </w:rPr>
  </w:style>
  <w:style w:type="character" w:styleId="ListLabel559">
    <w:name w:val="ListLabel 559"/>
    <w:qFormat/>
    <w:rPr>
      <w:lang w:val="it-IT" w:eastAsia="en-US" w:bidi="ar-SA"/>
    </w:rPr>
  </w:style>
  <w:style w:type="character" w:styleId="ListLabel560">
    <w:name w:val="ListLabel 560"/>
    <w:qFormat/>
    <w:rPr>
      <w:lang w:val="it-IT" w:eastAsia="en-US" w:bidi="ar-SA"/>
    </w:rPr>
  </w:style>
  <w:style w:type="character" w:styleId="ListLabel561">
    <w:name w:val="ListLabel 561"/>
    <w:qFormat/>
    <w:rPr>
      <w:lang w:val="it-IT" w:eastAsia="en-US" w:bidi="ar-SA"/>
    </w:rPr>
  </w:style>
  <w:style w:type="character" w:styleId="ListLabel562">
    <w:name w:val="ListLabel 562"/>
    <w:qFormat/>
    <w:rPr>
      <w:lang w:val="it-IT" w:eastAsia="en-US" w:bidi="ar-SA"/>
    </w:rPr>
  </w:style>
  <w:style w:type="character" w:styleId="ListLabel563">
    <w:name w:val="ListLabel 563"/>
    <w:qFormat/>
    <w:rPr>
      <w:lang w:val="it-IT" w:eastAsia="en-US" w:bidi="ar-SA"/>
    </w:rPr>
  </w:style>
  <w:style w:type="character" w:styleId="ListLabel564">
    <w:name w:val="ListLabel 564"/>
    <w:qFormat/>
    <w:rPr>
      <w:rFonts w:ascii="Centaur" w:hAnsi="Centaur" w:eastAsia="Microsoft Sans Serif" w:cs="Microsoft Sans Serif"/>
      <w:b/>
      <w:spacing w:val="0"/>
      <w:w w:val="96"/>
      <w:sz w:val="24"/>
      <w:szCs w:val="20"/>
      <w:lang w:val="it-IT" w:eastAsia="en-US" w:bidi="ar-SA"/>
    </w:rPr>
  </w:style>
  <w:style w:type="character" w:styleId="ListLabel565">
    <w:name w:val="ListLabel 565"/>
    <w:qFormat/>
    <w:rPr>
      <w:lang w:val="it-IT" w:eastAsia="en-US" w:bidi="ar-SA"/>
    </w:rPr>
  </w:style>
  <w:style w:type="character" w:styleId="ListLabel566">
    <w:name w:val="ListLabel 566"/>
    <w:qFormat/>
    <w:rPr>
      <w:lang w:val="it-IT" w:eastAsia="en-US" w:bidi="ar-SA"/>
    </w:rPr>
  </w:style>
  <w:style w:type="character" w:styleId="ListLabel567">
    <w:name w:val="ListLabel 567"/>
    <w:qFormat/>
    <w:rPr>
      <w:lang w:val="it-IT" w:eastAsia="en-US" w:bidi="ar-SA"/>
    </w:rPr>
  </w:style>
  <w:style w:type="character" w:styleId="ListLabel568">
    <w:name w:val="ListLabel 568"/>
    <w:qFormat/>
    <w:rPr>
      <w:lang w:val="it-IT" w:eastAsia="en-US" w:bidi="ar-SA"/>
    </w:rPr>
  </w:style>
  <w:style w:type="character" w:styleId="ListLabel569">
    <w:name w:val="ListLabel 569"/>
    <w:qFormat/>
    <w:rPr>
      <w:lang w:val="it-IT" w:eastAsia="en-US" w:bidi="ar-SA"/>
    </w:rPr>
  </w:style>
  <w:style w:type="character" w:styleId="ListLabel570">
    <w:name w:val="ListLabel 570"/>
    <w:qFormat/>
    <w:rPr>
      <w:lang w:val="it-IT" w:eastAsia="en-US" w:bidi="ar-SA"/>
    </w:rPr>
  </w:style>
  <w:style w:type="character" w:styleId="ListLabel571">
    <w:name w:val="ListLabel 571"/>
    <w:qFormat/>
    <w:rPr>
      <w:lang w:val="it-IT" w:eastAsia="en-US" w:bidi="ar-SA"/>
    </w:rPr>
  </w:style>
  <w:style w:type="character" w:styleId="ListLabel572">
    <w:name w:val="ListLabel 572"/>
    <w:qFormat/>
    <w:rPr>
      <w:lang w:val="it-IT" w:eastAsia="en-US" w:bidi="ar-SA"/>
    </w:rPr>
  </w:style>
  <w:style w:type="character" w:styleId="ListLabel573">
    <w:name w:val="ListLabel 573"/>
    <w:qFormat/>
    <w:rPr>
      <w:rFonts w:eastAsia="Microsoft Sans Serif" w:cs="Microsoft Sans Serif"/>
      <w:spacing w:val="0"/>
      <w:w w:val="96"/>
      <w:sz w:val="20"/>
      <w:szCs w:val="20"/>
      <w:lang w:val="it-IT" w:eastAsia="en-US" w:bidi="ar-SA"/>
    </w:rPr>
  </w:style>
  <w:style w:type="character" w:styleId="ListLabel574">
    <w:name w:val="ListLabel 574"/>
    <w:qFormat/>
    <w:rPr>
      <w:lang w:val="it-IT" w:eastAsia="en-US" w:bidi="ar-SA"/>
    </w:rPr>
  </w:style>
  <w:style w:type="character" w:styleId="ListLabel575">
    <w:name w:val="ListLabel 575"/>
    <w:qFormat/>
    <w:rPr>
      <w:lang w:val="it-IT" w:eastAsia="en-US" w:bidi="ar-SA"/>
    </w:rPr>
  </w:style>
  <w:style w:type="character" w:styleId="ListLabel576">
    <w:name w:val="ListLabel 576"/>
    <w:qFormat/>
    <w:rPr>
      <w:lang w:val="it-IT" w:eastAsia="en-US" w:bidi="ar-SA"/>
    </w:rPr>
  </w:style>
  <w:style w:type="character" w:styleId="ListLabel577">
    <w:name w:val="ListLabel 577"/>
    <w:qFormat/>
    <w:rPr>
      <w:lang w:val="it-IT" w:eastAsia="en-US" w:bidi="ar-SA"/>
    </w:rPr>
  </w:style>
  <w:style w:type="character" w:styleId="ListLabel578">
    <w:name w:val="ListLabel 578"/>
    <w:qFormat/>
    <w:rPr>
      <w:lang w:val="it-IT" w:eastAsia="en-US" w:bidi="ar-SA"/>
    </w:rPr>
  </w:style>
  <w:style w:type="character" w:styleId="ListLabel579">
    <w:name w:val="ListLabel 579"/>
    <w:qFormat/>
    <w:rPr>
      <w:lang w:val="it-IT" w:eastAsia="en-US" w:bidi="ar-SA"/>
    </w:rPr>
  </w:style>
  <w:style w:type="character" w:styleId="ListLabel580">
    <w:name w:val="ListLabel 580"/>
    <w:qFormat/>
    <w:rPr>
      <w:lang w:val="it-IT" w:eastAsia="en-US" w:bidi="ar-SA"/>
    </w:rPr>
  </w:style>
  <w:style w:type="character" w:styleId="ListLabel581">
    <w:name w:val="ListLabel 581"/>
    <w:qFormat/>
    <w:rPr>
      <w:lang w:val="it-IT" w:eastAsia="en-US" w:bidi="ar-SA"/>
    </w:rPr>
  </w:style>
  <w:style w:type="character" w:styleId="ListLabel582">
    <w:name w:val="ListLabel 582"/>
    <w:qFormat/>
    <w:rPr>
      <w:rFonts w:ascii="Centaur" w:hAnsi="Centaur" w:eastAsia="Microsoft Sans Serif" w:cs="Microsoft Sans Serif"/>
      <w:b/>
      <w:spacing w:val="0"/>
      <w:w w:val="96"/>
      <w:sz w:val="24"/>
      <w:szCs w:val="20"/>
      <w:lang w:val="it-IT" w:eastAsia="en-US" w:bidi="ar-SA"/>
    </w:rPr>
  </w:style>
  <w:style w:type="character" w:styleId="ListLabel583">
    <w:name w:val="ListLabel 583"/>
    <w:qFormat/>
    <w:rPr>
      <w:lang w:val="it-IT" w:eastAsia="en-US" w:bidi="ar-SA"/>
    </w:rPr>
  </w:style>
  <w:style w:type="character" w:styleId="ListLabel584">
    <w:name w:val="ListLabel 584"/>
    <w:qFormat/>
    <w:rPr>
      <w:lang w:val="it-IT" w:eastAsia="en-US" w:bidi="ar-SA"/>
    </w:rPr>
  </w:style>
  <w:style w:type="character" w:styleId="ListLabel585">
    <w:name w:val="ListLabel 585"/>
    <w:qFormat/>
    <w:rPr>
      <w:lang w:val="it-IT" w:eastAsia="en-US" w:bidi="ar-SA"/>
    </w:rPr>
  </w:style>
  <w:style w:type="character" w:styleId="ListLabel586">
    <w:name w:val="ListLabel 586"/>
    <w:qFormat/>
    <w:rPr>
      <w:lang w:val="it-IT" w:eastAsia="en-US" w:bidi="ar-SA"/>
    </w:rPr>
  </w:style>
  <w:style w:type="character" w:styleId="ListLabel587">
    <w:name w:val="ListLabel 587"/>
    <w:qFormat/>
    <w:rPr>
      <w:lang w:val="it-IT" w:eastAsia="en-US" w:bidi="ar-SA"/>
    </w:rPr>
  </w:style>
  <w:style w:type="character" w:styleId="ListLabel588">
    <w:name w:val="ListLabel 588"/>
    <w:qFormat/>
    <w:rPr>
      <w:lang w:val="it-IT" w:eastAsia="en-US" w:bidi="ar-SA"/>
    </w:rPr>
  </w:style>
  <w:style w:type="character" w:styleId="ListLabel589">
    <w:name w:val="ListLabel 589"/>
    <w:qFormat/>
    <w:rPr>
      <w:lang w:val="it-IT" w:eastAsia="en-US" w:bidi="ar-SA"/>
    </w:rPr>
  </w:style>
  <w:style w:type="character" w:styleId="ListLabel590">
    <w:name w:val="ListLabel 590"/>
    <w:qFormat/>
    <w:rPr>
      <w:lang w:val="it-IT" w:eastAsia="en-US" w:bidi="ar-SA"/>
    </w:rPr>
  </w:style>
  <w:style w:type="character" w:styleId="ListLabel591">
    <w:name w:val="ListLabel 591"/>
    <w:qFormat/>
    <w:rPr>
      <w:rFonts w:eastAsia="Microsoft Sans Serif" w:cs="Microsoft Sans Serif"/>
      <w:w w:val="96"/>
      <w:sz w:val="20"/>
      <w:szCs w:val="20"/>
      <w:lang w:val="it-IT" w:eastAsia="en-US" w:bidi="ar-SA"/>
    </w:rPr>
  </w:style>
  <w:style w:type="character" w:styleId="ListLabel592">
    <w:name w:val="ListLabel 592"/>
    <w:qFormat/>
    <w:rPr>
      <w:lang w:val="it-IT" w:eastAsia="en-US" w:bidi="ar-SA"/>
    </w:rPr>
  </w:style>
  <w:style w:type="character" w:styleId="ListLabel593">
    <w:name w:val="ListLabel 593"/>
    <w:qFormat/>
    <w:rPr>
      <w:lang w:val="it-IT" w:eastAsia="en-US" w:bidi="ar-SA"/>
    </w:rPr>
  </w:style>
  <w:style w:type="character" w:styleId="ListLabel594">
    <w:name w:val="ListLabel 594"/>
    <w:qFormat/>
    <w:rPr>
      <w:lang w:val="it-IT" w:eastAsia="en-US" w:bidi="ar-SA"/>
    </w:rPr>
  </w:style>
  <w:style w:type="character" w:styleId="ListLabel595">
    <w:name w:val="ListLabel 595"/>
    <w:qFormat/>
    <w:rPr>
      <w:lang w:val="it-IT" w:eastAsia="en-US" w:bidi="ar-SA"/>
    </w:rPr>
  </w:style>
  <w:style w:type="character" w:styleId="ListLabel596">
    <w:name w:val="ListLabel 596"/>
    <w:qFormat/>
    <w:rPr>
      <w:lang w:val="it-IT" w:eastAsia="en-US" w:bidi="ar-SA"/>
    </w:rPr>
  </w:style>
  <w:style w:type="character" w:styleId="ListLabel597">
    <w:name w:val="ListLabel 597"/>
    <w:qFormat/>
    <w:rPr>
      <w:lang w:val="it-IT" w:eastAsia="en-US" w:bidi="ar-SA"/>
    </w:rPr>
  </w:style>
  <w:style w:type="character" w:styleId="ListLabel598">
    <w:name w:val="ListLabel 598"/>
    <w:qFormat/>
    <w:rPr>
      <w:lang w:val="it-IT" w:eastAsia="en-US" w:bidi="ar-SA"/>
    </w:rPr>
  </w:style>
  <w:style w:type="character" w:styleId="ListLabel599">
    <w:name w:val="ListLabel 599"/>
    <w:qFormat/>
    <w:rPr>
      <w:lang w:val="it-IT" w:eastAsia="en-US" w:bidi="ar-SA"/>
    </w:rPr>
  </w:style>
  <w:style w:type="character" w:styleId="ListLabel600">
    <w:name w:val="ListLabel 600"/>
    <w:qFormat/>
    <w:rPr>
      <w:rFonts w:ascii="Centaur" w:hAnsi="Centaur" w:eastAsia="Microsoft Sans Serif" w:cs="Microsoft Sans Serif"/>
      <w:b/>
      <w:w w:val="96"/>
      <w:sz w:val="24"/>
      <w:szCs w:val="20"/>
      <w:lang w:val="it-IT" w:eastAsia="en-US" w:bidi="ar-SA"/>
    </w:rPr>
  </w:style>
  <w:style w:type="character" w:styleId="ListLabel601">
    <w:name w:val="ListLabel 601"/>
    <w:qFormat/>
    <w:rPr>
      <w:lang w:val="it-IT" w:eastAsia="en-US" w:bidi="ar-SA"/>
    </w:rPr>
  </w:style>
  <w:style w:type="character" w:styleId="ListLabel602">
    <w:name w:val="ListLabel 602"/>
    <w:qFormat/>
    <w:rPr>
      <w:lang w:val="it-IT" w:eastAsia="en-US" w:bidi="ar-SA"/>
    </w:rPr>
  </w:style>
  <w:style w:type="character" w:styleId="ListLabel603">
    <w:name w:val="ListLabel 603"/>
    <w:qFormat/>
    <w:rPr>
      <w:lang w:val="it-IT" w:eastAsia="en-US" w:bidi="ar-SA"/>
    </w:rPr>
  </w:style>
  <w:style w:type="character" w:styleId="ListLabel604">
    <w:name w:val="ListLabel 604"/>
    <w:qFormat/>
    <w:rPr>
      <w:lang w:val="it-IT" w:eastAsia="en-US" w:bidi="ar-SA"/>
    </w:rPr>
  </w:style>
  <w:style w:type="character" w:styleId="ListLabel605">
    <w:name w:val="ListLabel 605"/>
    <w:qFormat/>
    <w:rPr>
      <w:lang w:val="it-IT" w:eastAsia="en-US" w:bidi="ar-SA"/>
    </w:rPr>
  </w:style>
  <w:style w:type="character" w:styleId="ListLabel606">
    <w:name w:val="ListLabel 606"/>
    <w:qFormat/>
    <w:rPr>
      <w:lang w:val="it-IT" w:eastAsia="en-US" w:bidi="ar-SA"/>
    </w:rPr>
  </w:style>
  <w:style w:type="character" w:styleId="ListLabel607">
    <w:name w:val="ListLabel 607"/>
    <w:qFormat/>
    <w:rPr>
      <w:lang w:val="it-IT" w:eastAsia="en-US" w:bidi="ar-SA"/>
    </w:rPr>
  </w:style>
  <w:style w:type="character" w:styleId="ListLabel608">
    <w:name w:val="ListLabel 608"/>
    <w:qFormat/>
    <w:rPr>
      <w:lang w:val="it-IT" w:eastAsia="en-US" w:bidi="ar-SA"/>
    </w:rPr>
  </w:style>
  <w:style w:type="character" w:styleId="ListLabel609">
    <w:name w:val="ListLabel 609"/>
    <w:qFormat/>
    <w:rPr>
      <w:rFonts w:eastAsia="Microsoft Sans Serif" w:cs="Microsoft Sans Serif"/>
      <w:spacing w:val="-2"/>
      <w:w w:val="96"/>
      <w:sz w:val="18"/>
      <w:szCs w:val="18"/>
      <w:lang w:val="it-IT" w:eastAsia="en-US" w:bidi="ar-SA"/>
    </w:rPr>
  </w:style>
  <w:style w:type="character" w:styleId="ListLabel610">
    <w:name w:val="ListLabel 610"/>
    <w:qFormat/>
    <w:rPr>
      <w:rFonts w:eastAsia="Microsoft Sans Serif" w:cs="Microsoft Sans Serif"/>
      <w:spacing w:val="0"/>
      <w:w w:val="96"/>
      <w:sz w:val="20"/>
      <w:szCs w:val="20"/>
      <w:lang w:val="it-IT" w:eastAsia="en-US" w:bidi="ar-SA"/>
    </w:rPr>
  </w:style>
  <w:style w:type="character" w:styleId="ListLabel611">
    <w:name w:val="ListLabel 611"/>
    <w:qFormat/>
    <w:rPr>
      <w:lang w:val="it-IT" w:eastAsia="en-US" w:bidi="ar-SA"/>
    </w:rPr>
  </w:style>
  <w:style w:type="character" w:styleId="ListLabel612">
    <w:name w:val="ListLabel 612"/>
    <w:qFormat/>
    <w:rPr>
      <w:lang w:val="it-IT" w:eastAsia="en-US" w:bidi="ar-SA"/>
    </w:rPr>
  </w:style>
  <w:style w:type="character" w:styleId="ListLabel613">
    <w:name w:val="ListLabel 613"/>
    <w:qFormat/>
    <w:rPr>
      <w:lang w:val="it-IT" w:eastAsia="en-US" w:bidi="ar-SA"/>
    </w:rPr>
  </w:style>
  <w:style w:type="character" w:styleId="ListLabel614">
    <w:name w:val="ListLabel 614"/>
    <w:qFormat/>
    <w:rPr>
      <w:lang w:val="it-IT" w:eastAsia="en-US" w:bidi="ar-SA"/>
    </w:rPr>
  </w:style>
  <w:style w:type="character" w:styleId="ListLabel615">
    <w:name w:val="ListLabel 615"/>
    <w:qFormat/>
    <w:rPr>
      <w:lang w:val="it-IT" w:eastAsia="en-US" w:bidi="ar-SA"/>
    </w:rPr>
  </w:style>
  <w:style w:type="character" w:styleId="ListLabel616">
    <w:name w:val="ListLabel 616"/>
    <w:qFormat/>
    <w:rPr>
      <w:lang w:val="it-IT" w:eastAsia="en-US" w:bidi="ar-SA"/>
    </w:rPr>
  </w:style>
  <w:style w:type="character" w:styleId="ListLabel617">
    <w:name w:val="ListLabel 617"/>
    <w:qFormat/>
    <w:rPr>
      <w:lang w:val="it-IT" w:eastAsia="en-US" w:bidi="ar-SA"/>
    </w:rPr>
  </w:style>
  <w:style w:type="character" w:styleId="ListLabel618">
    <w:name w:val="ListLabel 618"/>
    <w:qFormat/>
    <w:rPr>
      <w:rFonts w:ascii="Centaur" w:hAnsi="Centaur" w:eastAsia="Microsoft Sans Serif" w:cs="Microsoft Sans Serif"/>
      <w:b/>
      <w:spacing w:val="-2"/>
      <w:w w:val="96"/>
      <w:sz w:val="24"/>
      <w:szCs w:val="18"/>
      <w:lang w:val="it-IT" w:eastAsia="en-US" w:bidi="ar-SA"/>
    </w:rPr>
  </w:style>
  <w:style w:type="character" w:styleId="ListLabel619">
    <w:name w:val="ListLabel 619"/>
    <w:qFormat/>
    <w:rPr>
      <w:rFonts w:ascii="Centaur" w:hAnsi="Centaur" w:eastAsia="Microsoft Sans Serif" w:cs="Microsoft Sans Serif"/>
      <w:b/>
      <w:spacing w:val="0"/>
      <w:w w:val="96"/>
      <w:sz w:val="24"/>
      <w:szCs w:val="20"/>
      <w:lang w:val="it-IT" w:eastAsia="en-US" w:bidi="ar-SA"/>
    </w:rPr>
  </w:style>
  <w:style w:type="character" w:styleId="ListLabel620">
    <w:name w:val="ListLabel 620"/>
    <w:qFormat/>
    <w:rPr>
      <w:lang w:val="it-IT" w:eastAsia="en-US" w:bidi="ar-SA"/>
    </w:rPr>
  </w:style>
  <w:style w:type="character" w:styleId="ListLabel621">
    <w:name w:val="ListLabel 621"/>
    <w:qFormat/>
    <w:rPr>
      <w:lang w:val="it-IT" w:eastAsia="en-US" w:bidi="ar-SA"/>
    </w:rPr>
  </w:style>
  <w:style w:type="character" w:styleId="ListLabel622">
    <w:name w:val="ListLabel 622"/>
    <w:qFormat/>
    <w:rPr>
      <w:lang w:val="it-IT" w:eastAsia="en-US" w:bidi="ar-SA"/>
    </w:rPr>
  </w:style>
  <w:style w:type="character" w:styleId="ListLabel623">
    <w:name w:val="ListLabel 623"/>
    <w:qFormat/>
    <w:rPr>
      <w:lang w:val="it-IT" w:eastAsia="en-US" w:bidi="ar-SA"/>
    </w:rPr>
  </w:style>
  <w:style w:type="character" w:styleId="ListLabel624">
    <w:name w:val="ListLabel 624"/>
    <w:qFormat/>
    <w:rPr>
      <w:lang w:val="it-IT" w:eastAsia="en-US" w:bidi="ar-SA"/>
    </w:rPr>
  </w:style>
  <w:style w:type="character" w:styleId="ListLabel625">
    <w:name w:val="ListLabel 625"/>
    <w:qFormat/>
    <w:rPr>
      <w:lang w:val="it-IT" w:eastAsia="en-US" w:bidi="ar-SA"/>
    </w:rPr>
  </w:style>
  <w:style w:type="character" w:styleId="ListLabel626">
    <w:name w:val="ListLabel 626"/>
    <w:qFormat/>
    <w:rPr>
      <w:lang w:val="it-IT" w:eastAsia="en-US" w:bidi="ar-SA"/>
    </w:rPr>
  </w:style>
  <w:style w:type="character" w:styleId="ListLabel627">
    <w:name w:val="ListLabel 627"/>
    <w:qFormat/>
    <w:rPr>
      <w:rFonts w:eastAsia="Microsoft Sans Serif" w:cs="Microsoft Sans Serif"/>
      <w:spacing w:val="0"/>
      <w:w w:val="96"/>
      <w:sz w:val="20"/>
      <w:szCs w:val="20"/>
      <w:lang w:val="it-IT" w:eastAsia="en-US" w:bidi="ar-SA"/>
    </w:rPr>
  </w:style>
  <w:style w:type="character" w:styleId="ListLabel628">
    <w:name w:val="ListLabel 628"/>
    <w:qFormat/>
    <w:rPr>
      <w:rFonts w:eastAsia="Times New Roman" w:cs="Times New Roman"/>
      <w:w w:val="100"/>
      <w:sz w:val="21"/>
      <w:szCs w:val="21"/>
      <w:lang w:val="it-IT" w:eastAsia="en-US" w:bidi="ar-SA"/>
    </w:rPr>
  </w:style>
  <w:style w:type="character" w:styleId="ListLabel629">
    <w:name w:val="ListLabel 629"/>
    <w:qFormat/>
    <w:rPr>
      <w:lang w:val="it-IT" w:eastAsia="en-US" w:bidi="ar-SA"/>
    </w:rPr>
  </w:style>
  <w:style w:type="character" w:styleId="ListLabel630">
    <w:name w:val="ListLabel 630"/>
    <w:qFormat/>
    <w:rPr>
      <w:lang w:val="it-IT" w:eastAsia="en-US" w:bidi="ar-SA"/>
    </w:rPr>
  </w:style>
  <w:style w:type="character" w:styleId="ListLabel631">
    <w:name w:val="ListLabel 631"/>
    <w:qFormat/>
    <w:rPr>
      <w:lang w:val="it-IT" w:eastAsia="en-US" w:bidi="ar-SA"/>
    </w:rPr>
  </w:style>
  <w:style w:type="character" w:styleId="ListLabel632">
    <w:name w:val="ListLabel 632"/>
    <w:qFormat/>
    <w:rPr>
      <w:lang w:val="it-IT" w:eastAsia="en-US" w:bidi="ar-SA"/>
    </w:rPr>
  </w:style>
  <w:style w:type="character" w:styleId="ListLabel633">
    <w:name w:val="ListLabel 633"/>
    <w:qFormat/>
    <w:rPr>
      <w:lang w:val="it-IT" w:eastAsia="en-US" w:bidi="ar-SA"/>
    </w:rPr>
  </w:style>
  <w:style w:type="character" w:styleId="ListLabel634">
    <w:name w:val="ListLabel 634"/>
    <w:qFormat/>
    <w:rPr>
      <w:rFonts w:ascii="Centaur" w:hAnsi="Centaur" w:eastAsia="Microsoft Sans Serif" w:cs="Microsoft Sans Serif"/>
      <w:b/>
      <w:spacing w:val="0"/>
      <w:w w:val="96"/>
      <w:sz w:val="24"/>
      <w:szCs w:val="20"/>
      <w:lang w:val="it-IT" w:eastAsia="en-US" w:bidi="ar-SA"/>
    </w:rPr>
  </w:style>
  <w:style w:type="character" w:styleId="ListLabel635">
    <w:name w:val="ListLabel 635"/>
    <w:qFormat/>
    <w:rPr>
      <w:rFonts w:ascii="Centaur" w:hAnsi="Centaur" w:eastAsia="Times New Roman" w:cs="Times New Roman"/>
      <w:b/>
      <w:w w:val="100"/>
      <w:sz w:val="24"/>
      <w:szCs w:val="21"/>
      <w:lang w:val="it-IT" w:eastAsia="en-US" w:bidi="ar-SA"/>
    </w:rPr>
  </w:style>
  <w:style w:type="character" w:styleId="ListLabel636">
    <w:name w:val="ListLabel 636"/>
    <w:qFormat/>
    <w:rPr>
      <w:lang w:val="it-IT" w:eastAsia="en-US" w:bidi="ar-SA"/>
    </w:rPr>
  </w:style>
  <w:style w:type="character" w:styleId="ListLabel637">
    <w:name w:val="ListLabel 637"/>
    <w:qFormat/>
    <w:rPr>
      <w:lang w:val="it-IT" w:eastAsia="en-US" w:bidi="ar-SA"/>
    </w:rPr>
  </w:style>
  <w:style w:type="character" w:styleId="ListLabel638">
    <w:name w:val="ListLabel 638"/>
    <w:qFormat/>
    <w:rPr>
      <w:lang w:val="it-IT" w:eastAsia="en-US" w:bidi="ar-SA"/>
    </w:rPr>
  </w:style>
  <w:style w:type="character" w:styleId="ListLabel639">
    <w:name w:val="ListLabel 639"/>
    <w:qFormat/>
    <w:rPr>
      <w:lang w:val="it-IT" w:eastAsia="en-US" w:bidi="ar-SA"/>
    </w:rPr>
  </w:style>
  <w:style w:type="character" w:styleId="ListLabel640">
    <w:name w:val="ListLabel 640"/>
    <w:qFormat/>
    <w:rPr>
      <w:lang w:val="it-IT" w:eastAsia="en-US" w:bidi="ar-SA"/>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194289"/>
    <w:pPr>
      <w:widowControl w:val="false"/>
      <w:suppressAutoHyphens w:val="false"/>
      <w:overflowPunct w:val="false"/>
      <w:textAlignment w:val="auto"/>
    </w:pPr>
    <w:rPr>
      <w:rFonts w:ascii="Cambria" w:hAnsi="Cambria" w:eastAsia="Cambria" w:cs="Cambria"/>
      <w:sz w:val="24"/>
      <w:szCs w:val="24"/>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pPr>
      <w:tabs>
        <w:tab w:val="center" w:pos="4819" w:leader="none"/>
        <w:tab w:val="right" w:pos="9638" w:leader="none"/>
      </w:tabs>
    </w:pPr>
    <w:rPr/>
  </w:style>
  <w:style w:type="paragraph" w:styleId="Pidipagina">
    <w:name w:val="Footer"/>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uiPriority w:val="99"/>
    <w:semiHidden/>
    <w:qFormat/>
    <w:rsid w:val="00d0026b"/>
    <w:pPr/>
    <w:rPr>
      <w:rFonts w:ascii="Tahoma" w:hAnsi="Tahoma" w:cs="Tahoma"/>
      <w:sz w:val="16"/>
      <w:szCs w:val="16"/>
    </w:rPr>
  </w:style>
  <w:style w:type="paragraph" w:styleId="Contenutotabella" w:customStyle="1">
    <w:name w:val="Contenuto tabella"/>
    <w:basedOn w:val="Normal"/>
    <w:qFormat/>
    <w:rsid w:val="00742eca"/>
    <w:pPr>
      <w:widowControl w:val="false"/>
      <w:suppressLineNumbers/>
    </w:pPr>
    <w:rPr>
      <w:rFonts w:eastAsia="SimSun" w:cs="Mangal"/>
      <w:kern w:val="2"/>
      <w:sz w:val="24"/>
      <w:lang w:eastAsia="hi-IN" w:bidi="hi-IN"/>
    </w:rPr>
  </w:style>
  <w:style w:type="paragraph" w:styleId="ListParagraph">
    <w:name w:val="List Paragraph"/>
    <w:basedOn w:val="Normal"/>
    <w:uiPriority w:val="1"/>
    <w:qFormat/>
    <w:rsid w:val="007c68f9"/>
    <w:pPr>
      <w:spacing w:before="0" w:after="0"/>
      <w:ind w:left="720" w:hanging="0"/>
      <w:contextualSpacing/>
    </w:pPr>
    <w:rPr/>
  </w:style>
  <w:style w:type="paragraph" w:styleId="Titoloprincipale">
    <w:name w:val="Title"/>
    <w:basedOn w:val="Normal"/>
    <w:link w:val="TitoloCarattere"/>
    <w:uiPriority w:val="1"/>
    <w:qFormat/>
    <w:rsid w:val="00194289"/>
    <w:pPr>
      <w:widowControl w:val="false"/>
      <w:suppressAutoHyphens w:val="false"/>
      <w:overflowPunct w:val="false"/>
      <w:ind w:left="835" w:right="96" w:hanging="0"/>
      <w:jc w:val="center"/>
      <w:textAlignment w:val="auto"/>
    </w:pPr>
    <w:rPr>
      <w:rFonts w:ascii="Cambria" w:hAnsi="Cambria" w:eastAsia="Cambria" w:cs="Cambria"/>
      <w:b/>
      <w:bCs/>
      <w:sz w:val="36"/>
      <w:szCs w:val="36"/>
      <w:lang w:eastAsia="en-US"/>
    </w:rPr>
  </w:style>
  <w:style w:type="paragraph" w:styleId="TableParagraph" w:customStyle="1">
    <w:name w:val="Table Paragraph"/>
    <w:basedOn w:val="Normal"/>
    <w:uiPriority w:val="1"/>
    <w:qFormat/>
    <w:rsid w:val="00194289"/>
    <w:pPr>
      <w:widowControl w:val="false"/>
      <w:suppressAutoHyphens w:val="false"/>
      <w:overflowPunct w:val="false"/>
      <w:textAlignment w:val="auto"/>
    </w:pPr>
    <w:rPr>
      <w:rFonts w:ascii="Cambria" w:hAnsi="Cambria" w:eastAsia="Cambria" w:cs="Cambria"/>
      <w:sz w:val="22"/>
      <w:szCs w:val="22"/>
      <w:lang w:eastAsia="en-US"/>
    </w:rPr>
  </w:style>
  <w:style w:type="paragraph" w:styleId="NormalWeb">
    <w:name w:val="Normal (Web)"/>
    <w:basedOn w:val="Normal"/>
    <w:uiPriority w:val="99"/>
    <w:unhideWhenUsed/>
    <w:qFormat/>
    <w:rsid w:val="00194289"/>
    <w:pPr>
      <w:suppressAutoHyphens w:val="false"/>
      <w:overflowPunct w:val="false"/>
      <w:spacing w:lineRule="auto" w:line="288" w:beforeAutospacing="1" w:after="142"/>
      <w:textAlignment w:val="auto"/>
    </w:pPr>
    <w:rPr>
      <w:sz w:val="24"/>
      <w:szCs w:val="24"/>
      <w:lang w:eastAsia="it-IT"/>
    </w:rPr>
  </w:style>
  <w:style w:type="paragraph" w:styleId="Default" w:customStyle="1">
    <w:name w:val="Default"/>
    <w:qFormat/>
    <w:rsid w:val="00194289"/>
    <w:pPr>
      <w:widowControl/>
      <w:bidi w:val="0"/>
      <w:jc w:val="left"/>
    </w:pPr>
    <w:rPr>
      <w:rFonts w:ascii="Calibri" w:hAnsi="Calibri" w:eastAsia="Calibri" w:cs="Calibri" w:eastAsiaTheme="minorHAnsi"/>
      <w:color w:val="000000"/>
      <w:kern w:val="0"/>
      <w:sz w:val="24"/>
      <w:szCs w:val="24"/>
      <w:lang w:eastAsia="en-US" w:val="it-IT" w:bidi="ar-SA"/>
    </w:rPr>
  </w:style>
  <w:style w:type="paragraph" w:styleId="Footnotetext">
    <w:name w:val="footnote text"/>
    <w:basedOn w:val="Normal"/>
    <w:link w:val="TestonotaapidipaginaCarattere"/>
    <w:semiHidden/>
    <w:unhideWhenUsed/>
    <w:qFormat/>
    <w:rsid w:val="004d0ce6"/>
    <w:pPr/>
    <w:rPr/>
  </w:style>
  <w:style w:type="paragraph" w:styleId="Msonormal" w:customStyle="1">
    <w:name w:val="msonormal"/>
    <w:basedOn w:val="Normal"/>
    <w:qFormat/>
    <w:rsid w:val="003315d9"/>
    <w:pPr>
      <w:suppressAutoHyphens w:val="false"/>
      <w:overflowPunct w:val="false"/>
      <w:spacing w:beforeAutospacing="1" w:afterAutospacing="1"/>
      <w:textAlignment w:val="auto"/>
    </w:pPr>
    <w:rPr>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074b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distrettosociosanitario50@comune.trapani.it" TargetMode="External"/><Relationship Id="rId2" Type="http://schemas.openxmlformats.org/officeDocument/2006/relationships/hyperlink" Target="mailto:distrettosociosanitario50@pec.comune.trapani.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
</Relationships>
</file>

<file path=word/_rels/header2.xml.rels><?xml version="1.0" encoding="UTF-8"?>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8.png"/><Relationship Id="rId4" Type="http://schemas.openxmlformats.org/officeDocument/2006/relationships/image" Target="media/image9.png"/><Relationship Id="rId5" Type="http://schemas.openxmlformats.org/officeDocument/2006/relationships/image" Target="media/image10.png"/>
</Relationships>
</file>

<file path=word/_rels/header3.xml.rels><?xml version="1.0" encoding="UTF-8"?>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 Id="rId3" Type="http://schemas.openxmlformats.org/officeDocument/2006/relationships/image" Target="media/image13.png"/><Relationship Id="rId4" Type="http://schemas.openxmlformats.org/officeDocument/2006/relationships/image" Target="media/image14.png"/><Relationship Id="rId5" Type="http://schemas.openxmlformats.org/officeDocument/2006/relationships/image" Target="media/image15.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D8B1-52D2-4BCB-B280-FCBAECFD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Distretto 50 ok</Template>
  <TotalTime>30</TotalTime>
  <Application>LibreOffice/5.4.4.2$Windows_X86_64 LibreOffice_project/2524958677847fb3bb44820e40380acbe820f960</Application>
  <Pages>24</Pages>
  <Words>9219</Words>
  <Characters>56131</Characters>
  <CharactersWithSpaces>65035</CharactersWithSpaces>
  <Paragraphs>345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2024-05-02T18:21:00Z</dcterms:created>
  <dc:creator>Administrator</dc:creator>
  <dc:description/>
  <dc:language>it-IT</dc:language>
  <cp:lastModifiedBy>Marilena Cricchio</cp:lastModifiedBy>
  <cp:lastPrinted>2024-05-02T18:21:00Z</cp:lastPrinted>
  <dcterms:modified xsi:type="dcterms:W3CDTF">2024-05-03T12:18:00Z</dcterms:modified>
  <cp:revision>10</cp:revision>
  <dc:subject/>
  <dc:title>Al Sig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